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714FD" w14:textId="5F2E0B95" w:rsidR="00671941" w:rsidRPr="00063D2B" w:rsidRDefault="00671941" w:rsidP="00671941">
      <w:pPr>
        <w:spacing w:before="141"/>
        <w:ind w:left="426" w:right="590"/>
        <w:jc w:val="center"/>
        <w:rPr>
          <w:rFonts w:ascii="Arial" w:hAnsi="Arial"/>
          <w:b/>
          <w:sz w:val="24"/>
          <w:szCs w:val="24"/>
        </w:rPr>
      </w:pPr>
      <w:bookmarkStart w:id="0" w:name="_GoBack"/>
      <w:bookmarkEnd w:id="0"/>
      <w:r w:rsidRPr="00063D2B">
        <w:rPr>
          <w:rFonts w:ascii="Arial" w:hAnsi="Arial"/>
          <w:b/>
          <w:sz w:val="24"/>
          <w:szCs w:val="24"/>
        </w:rPr>
        <w:t>PR FESR Marche 2021-2027</w:t>
      </w:r>
    </w:p>
    <w:p w14:paraId="5B6CD28C" w14:textId="624B3C5B" w:rsidR="00671941" w:rsidRPr="00063D2B" w:rsidRDefault="00D33266" w:rsidP="00D33266">
      <w:pPr>
        <w:spacing w:before="141"/>
        <w:ind w:left="426" w:right="590"/>
        <w:jc w:val="center"/>
        <w:rPr>
          <w:rFonts w:ascii="Arial" w:hAnsi="Arial"/>
          <w:sz w:val="24"/>
          <w:szCs w:val="24"/>
        </w:rPr>
      </w:pPr>
      <w:r w:rsidRPr="00063D2B">
        <w:rPr>
          <w:rFonts w:ascii="Arial" w:hAnsi="Arial"/>
          <w:sz w:val="24"/>
          <w:szCs w:val="24"/>
        </w:rPr>
        <w:t>Intervento 1.3.5.1b - Interventi per migliorare l’accesso al credito delle imprese tramite il sostegno alla capitalizzazione del Fondo “PATRIMONIO PMI”</w:t>
      </w:r>
    </w:p>
    <w:p w14:paraId="48FC6A07" w14:textId="71FCE295" w:rsidR="0092441D" w:rsidRPr="00063D2B" w:rsidRDefault="0092441D" w:rsidP="0092441D">
      <w:pPr>
        <w:jc w:val="center"/>
        <w:rPr>
          <w:rFonts w:ascii="Arial MT" w:hAnsi="Arial MT" w:cs="Arial"/>
          <w:sz w:val="24"/>
        </w:rPr>
      </w:pPr>
      <w:r w:rsidRPr="00063D2B">
        <w:rPr>
          <w:rFonts w:ascii="Arial MT" w:hAnsi="Arial MT" w:cs="Arial"/>
          <w:sz w:val="24"/>
        </w:rPr>
        <w:t xml:space="preserve">CUP </w:t>
      </w:r>
      <w:r w:rsidR="00F6596D" w:rsidRPr="00F6596D">
        <w:rPr>
          <w:rFonts w:ascii="Arial MT" w:hAnsi="Arial MT" w:cs="Arial"/>
          <w:sz w:val="24"/>
        </w:rPr>
        <w:t xml:space="preserve">B39I23000190007 </w:t>
      </w:r>
      <w:r w:rsidRPr="00063D2B">
        <w:rPr>
          <w:rFonts w:ascii="Arial MT" w:hAnsi="Arial MT" w:cs="Arial"/>
          <w:sz w:val="24"/>
        </w:rPr>
        <w:t xml:space="preserve">CIG </w:t>
      </w:r>
      <w:r w:rsidR="00F6596D" w:rsidRPr="00F6596D">
        <w:rPr>
          <w:rFonts w:ascii="Arial MT" w:hAnsi="Arial MT" w:cs="Arial"/>
          <w:sz w:val="24"/>
        </w:rPr>
        <w:t>A0671D1989</w:t>
      </w:r>
    </w:p>
    <w:p w14:paraId="0AF5F277" w14:textId="77777777" w:rsidR="00327C00" w:rsidRPr="00063D2B" w:rsidRDefault="00327C00" w:rsidP="00EF3BC4">
      <w:pPr>
        <w:jc w:val="center"/>
        <w:rPr>
          <w:rFonts w:ascii="Arial" w:hAnsi="Arial"/>
          <w:b/>
          <w:sz w:val="24"/>
          <w:szCs w:val="24"/>
        </w:rPr>
      </w:pPr>
      <w:r w:rsidRPr="00063D2B">
        <w:rPr>
          <w:rFonts w:ascii="Arial" w:hAnsi="Arial"/>
          <w:b/>
          <w:sz w:val="24"/>
          <w:szCs w:val="24"/>
        </w:rPr>
        <w:t>Strategia di Investimento e Piano Aziendale</w:t>
      </w:r>
      <w:r w:rsidRPr="00063D2B" w:rsidDel="00A90363">
        <w:rPr>
          <w:rFonts w:ascii="Arial" w:hAnsi="Arial"/>
          <w:b/>
          <w:sz w:val="24"/>
          <w:szCs w:val="24"/>
        </w:rPr>
        <w:t xml:space="preserve"> </w:t>
      </w:r>
    </w:p>
    <w:p w14:paraId="18637256" w14:textId="77777777" w:rsidR="00406D94" w:rsidRPr="00063D2B" w:rsidRDefault="00406D94" w:rsidP="0089604D">
      <w:pPr>
        <w:autoSpaceDE w:val="0"/>
        <w:autoSpaceDN w:val="0"/>
        <w:adjustRightInd w:val="0"/>
        <w:spacing w:after="0" w:line="240" w:lineRule="auto"/>
        <w:rPr>
          <w:rFonts w:cstheme="minorHAnsi"/>
          <w:b/>
          <w:bCs/>
          <w:u w:val="single"/>
        </w:rPr>
      </w:pPr>
    </w:p>
    <w:sdt>
      <w:sdtPr>
        <w:rPr>
          <w:rFonts w:asciiTheme="minorHAnsi" w:eastAsiaTheme="minorHAnsi" w:hAnsiTheme="minorHAnsi" w:cstheme="minorBidi"/>
          <w:color w:val="auto"/>
          <w:sz w:val="22"/>
          <w:szCs w:val="22"/>
          <w:lang w:eastAsia="en-US"/>
        </w:rPr>
        <w:id w:val="-1249572822"/>
        <w:docPartObj>
          <w:docPartGallery w:val="Table of Contents"/>
          <w:docPartUnique/>
        </w:docPartObj>
      </w:sdtPr>
      <w:sdtEndPr>
        <w:rPr>
          <w:b/>
          <w:bCs/>
        </w:rPr>
      </w:sdtEndPr>
      <w:sdtContent>
        <w:p w14:paraId="3A25FC13" w14:textId="77777777" w:rsidR="004575DC" w:rsidRPr="006F5F1A" w:rsidRDefault="004575DC">
          <w:pPr>
            <w:pStyle w:val="Titolosommario"/>
          </w:pPr>
          <w:r w:rsidRPr="00063D2B">
            <w:t>S</w:t>
          </w:r>
          <w:r w:rsidRPr="006F5F1A">
            <w:t>ommario</w:t>
          </w:r>
        </w:p>
        <w:p w14:paraId="22371D4B" w14:textId="01C52168" w:rsidR="004648B7" w:rsidRPr="004648B7" w:rsidRDefault="004575DC">
          <w:pPr>
            <w:pStyle w:val="Sommario1"/>
            <w:rPr>
              <w:rFonts w:eastAsiaTheme="minorEastAsia"/>
              <w:noProof/>
              <w:lang w:eastAsia="it-IT"/>
            </w:rPr>
          </w:pPr>
          <w:r w:rsidRPr="004648B7">
            <w:fldChar w:fldCharType="begin"/>
          </w:r>
          <w:r w:rsidRPr="004648B7">
            <w:instrText xml:space="preserve"> TOC \o "1-3" \h \z \u </w:instrText>
          </w:r>
          <w:r w:rsidRPr="004648B7">
            <w:fldChar w:fldCharType="separate"/>
          </w:r>
          <w:hyperlink w:anchor="_Toc192061642" w:history="1">
            <w:r w:rsidR="004648B7" w:rsidRPr="004648B7">
              <w:rPr>
                <w:rStyle w:val="Collegamentoipertestuale"/>
                <w:noProof/>
              </w:rPr>
              <w:t>PREMESSA</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_Toc192061642 \h </w:instrText>
            </w:r>
            <w:r w:rsidR="004648B7" w:rsidRPr="004648B7">
              <w:rPr>
                <w:noProof/>
                <w:webHidden/>
              </w:rPr>
            </w:r>
            <w:r w:rsidR="004648B7" w:rsidRPr="004648B7">
              <w:rPr>
                <w:noProof/>
                <w:webHidden/>
              </w:rPr>
              <w:fldChar w:fldCharType="separate"/>
            </w:r>
            <w:r w:rsidR="004648B7" w:rsidRPr="004648B7">
              <w:rPr>
                <w:noProof/>
                <w:webHidden/>
              </w:rPr>
              <w:t>2</w:t>
            </w:r>
            <w:r w:rsidR="004648B7" w:rsidRPr="004648B7">
              <w:rPr>
                <w:noProof/>
                <w:webHidden/>
              </w:rPr>
              <w:fldChar w:fldCharType="end"/>
            </w:r>
          </w:hyperlink>
        </w:p>
        <w:p w14:paraId="376B7D18" w14:textId="1BFD28A6" w:rsidR="004648B7" w:rsidRPr="004648B7" w:rsidRDefault="00EF3BC4">
          <w:pPr>
            <w:pStyle w:val="Sommario2"/>
            <w:tabs>
              <w:tab w:val="right" w:leader="dot" w:pos="9628"/>
            </w:tabs>
            <w:rPr>
              <w:rFonts w:eastAsiaTheme="minorEastAsia"/>
              <w:noProof/>
              <w:lang w:eastAsia="it-IT"/>
            </w:rPr>
          </w:pPr>
          <w:hyperlink w:anchor="_Toc192061643" w:history="1">
            <w:r w:rsidR="004648B7" w:rsidRPr="004648B7">
              <w:rPr>
                <w:rStyle w:val="Collegamentoipertestuale"/>
                <w:rFonts w:cstheme="minorHAnsi"/>
                <w:noProof/>
              </w:rPr>
              <w:t>LA SITUAZIONE CREDITIZIA IN ITALIA</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_Toc192061643 \h </w:instrText>
            </w:r>
            <w:r w:rsidR="004648B7" w:rsidRPr="004648B7">
              <w:rPr>
                <w:noProof/>
                <w:webHidden/>
              </w:rPr>
            </w:r>
            <w:r w:rsidR="004648B7" w:rsidRPr="004648B7">
              <w:rPr>
                <w:noProof/>
                <w:webHidden/>
              </w:rPr>
              <w:fldChar w:fldCharType="separate"/>
            </w:r>
            <w:r w:rsidR="004648B7" w:rsidRPr="004648B7">
              <w:rPr>
                <w:noProof/>
                <w:webHidden/>
              </w:rPr>
              <w:t>2</w:t>
            </w:r>
            <w:r w:rsidR="004648B7" w:rsidRPr="004648B7">
              <w:rPr>
                <w:noProof/>
                <w:webHidden/>
              </w:rPr>
              <w:fldChar w:fldCharType="end"/>
            </w:r>
          </w:hyperlink>
        </w:p>
        <w:p w14:paraId="31AADA0F" w14:textId="71F61480" w:rsidR="004648B7" w:rsidRPr="004648B7" w:rsidRDefault="00EF3BC4">
          <w:pPr>
            <w:pStyle w:val="Sommario2"/>
            <w:tabs>
              <w:tab w:val="right" w:leader="dot" w:pos="9628"/>
            </w:tabs>
            <w:rPr>
              <w:rFonts w:eastAsiaTheme="minorEastAsia"/>
              <w:noProof/>
              <w:lang w:eastAsia="it-IT"/>
            </w:rPr>
          </w:pPr>
          <w:hyperlink w:anchor="_Toc192061644" w:history="1">
            <w:r w:rsidR="004648B7" w:rsidRPr="004648B7">
              <w:rPr>
                <w:rStyle w:val="Collegamentoipertestuale"/>
                <w:rFonts w:cstheme="minorHAnsi"/>
                <w:noProof/>
              </w:rPr>
              <w:t>LA SITUAZIONE CREDITIZIA NELLE MARCHE</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_Toc192061644 \h </w:instrText>
            </w:r>
            <w:r w:rsidR="004648B7" w:rsidRPr="004648B7">
              <w:rPr>
                <w:noProof/>
                <w:webHidden/>
              </w:rPr>
            </w:r>
            <w:r w:rsidR="004648B7" w:rsidRPr="004648B7">
              <w:rPr>
                <w:noProof/>
                <w:webHidden/>
              </w:rPr>
              <w:fldChar w:fldCharType="separate"/>
            </w:r>
            <w:r w:rsidR="004648B7" w:rsidRPr="004648B7">
              <w:rPr>
                <w:noProof/>
                <w:webHidden/>
              </w:rPr>
              <w:t>4</w:t>
            </w:r>
            <w:r w:rsidR="004648B7" w:rsidRPr="004648B7">
              <w:rPr>
                <w:noProof/>
                <w:webHidden/>
              </w:rPr>
              <w:fldChar w:fldCharType="end"/>
            </w:r>
          </w:hyperlink>
        </w:p>
        <w:p w14:paraId="027C5136" w14:textId="6826388B" w:rsidR="004648B7" w:rsidRPr="004648B7" w:rsidRDefault="00EF3BC4">
          <w:pPr>
            <w:pStyle w:val="Sommario2"/>
            <w:tabs>
              <w:tab w:val="right" w:leader="dot" w:pos="9628"/>
            </w:tabs>
            <w:rPr>
              <w:rFonts w:eastAsiaTheme="minorEastAsia"/>
              <w:noProof/>
              <w:lang w:eastAsia="it-IT"/>
            </w:rPr>
          </w:pPr>
          <w:hyperlink w:anchor="_Toc192061645" w:history="1">
            <w:r w:rsidR="004648B7" w:rsidRPr="004648B7">
              <w:rPr>
                <w:rStyle w:val="Collegamentoipertestuale"/>
                <w:rFonts w:cstheme="minorHAnsi"/>
                <w:noProof/>
              </w:rPr>
              <w:t>L’ANDAMENTO DEGLI INVESTIMENTI DELLE IMPRESE A LIVELLO NAZIONALE E REGIONALE</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_Toc192061645 \h </w:instrText>
            </w:r>
            <w:r w:rsidR="004648B7" w:rsidRPr="004648B7">
              <w:rPr>
                <w:noProof/>
                <w:webHidden/>
              </w:rPr>
            </w:r>
            <w:r w:rsidR="004648B7" w:rsidRPr="004648B7">
              <w:rPr>
                <w:noProof/>
                <w:webHidden/>
              </w:rPr>
              <w:fldChar w:fldCharType="separate"/>
            </w:r>
            <w:r w:rsidR="004648B7" w:rsidRPr="004648B7">
              <w:rPr>
                <w:noProof/>
                <w:webHidden/>
              </w:rPr>
              <w:t>7</w:t>
            </w:r>
            <w:r w:rsidR="004648B7" w:rsidRPr="004648B7">
              <w:rPr>
                <w:noProof/>
                <w:webHidden/>
              </w:rPr>
              <w:fldChar w:fldCharType="end"/>
            </w:r>
          </w:hyperlink>
        </w:p>
        <w:p w14:paraId="76443D56" w14:textId="08B0ABF6" w:rsidR="004648B7" w:rsidRPr="004648B7" w:rsidRDefault="00EF3BC4">
          <w:pPr>
            <w:pStyle w:val="Sommario2"/>
            <w:tabs>
              <w:tab w:val="right" w:leader="dot" w:pos="9628"/>
            </w:tabs>
            <w:rPr>
              <w:rFonts w:eastAsiaTheme="minorEastAsia"/>
              <w:noProof/>
              <w:lang w:eastAsia="it-IT"/>
            </w:rPr>
          </w:pPr>
          <w:hyperlink w:anchor="_Toc192061646" w:history="1">
            <w:r w:rsidR="004648B7" w:rsidRPr="004648B7">
              <w:rPr>
                <w:rStyle w:val="Collegamentoipertestuale"/>
                <w:rFonts w:cstheme="minorHAnsi"/>
                <w:noProof/>
              </w:rPr>
              <w:t>LO STRUMENTO REGIONALE PER FAVORIRE LA CAPITALIZZAZIONE DELLE IMPRESE ATTIVATO NEL 2021</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_Toc192061646 \h </w:instrText>
            </w:r>
            <w:r w:rsidR="004648B7" w:rsidRPr="004648B7">
              <w:rPr>
                <w:noProof/>
                <w:webHidden/>
              </w:rPr>
            </w:r>
            <w:r w:rsidR="004648B7" w:rsidRPr="004648B7">
              <w:rPr>
                <w:noProof/>
                <w:webHidden/>
              </w:rPr>
              <w:fldChar w:fldCharType="separate"/>
            </w:r>
            <w:r w:rsidR="004648B7" w:rsidRPr="004648B7">
              <w:rPr>
                <w:noProof/>
                <w:webHidden/>
              </w:rPr>
              <w:t>10</w:t>
            </w:r>
            <w:r w:rsidR="004648B7" w:rsidRPr="004648B7">
              <w:rPr>
                <w:noProof/>
                <w:webHidden/>
              </w:rPr>
              <w:fldChar w:fldCharType="end"/>
            </w:r>
          </w:hyperlink>
        </w:p>
        <w:p w14:paraId="32F1F957" w14:textId="22CA75C5" w:rsidR="004648B7" w:rsidRPr="004648B7" w:rsidRDefault="00EF3BC4">
          <w:pPr>
            <w:pStyle w:val="Sommario1"/>
            <w:rPr>
              <w:rFonts w:eastAsiaTheme="minorEastAsia"/>
              <w:noProof/>
              <w:lang w:eastAsia="it-IT"/>
            </w:rPr>
          </w:pPr>
          <w:hyperlink w:anchor="_Toc192061647" w:history="1">
            <w:r w:rsidR="004648B7" w:rsidRPr="004648B7">
              <w:rPr>
                <w:rStyle w:val="Collegamentoipertestuale"/>
                <w:noProof/>
              </w:rPr>
              <w:t>UNA MISURA REGIONALE PER IL SUPPORTO ALL’ACCESSO AL CREDITO</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_Toc192061647 \h </w:instrText>
            </w:r>
            <w:r w:rsidR="004648B7" w:rsidRPr="004648B7">
              <w:rPr>
                <w:noProof/>
                <w:webHidden/>
              </w:rPr>
            </w:r>
            <w:r w:rsidR="004648B7" w:rsidRPr="004648B7">
              <w:rPr>
                <w:noProof/>
                <w:webHidden/>
              </w:rPr>
              <w:fldChar w:fldCharType="separate"/>
            </w:r>
            <w:r w:rsidR="004648B7" w:rsidRPr="004648B7">
              <w:rPr>
                <w:noProof/>
                <w:webHidden/>
              </w:rPr>
              <w:t>13</w:t>
            </w:r>
            <w:r w:rsidR="004648B7" w:rsidRPr="004648B7">
              <w:rPr>
                <w:noProof/>
                <w:webHidden/>
              </w:rPr>
              <w:fldChar w:fldCharType="end"/>
            </w:r>
          </w:hyperlink>
        </w:p>
        <w:p w14:paraId="07F75B25" w14:textId="3C172945" w:rsidR="004648B7" w:rsidRPr="004648B7" w:rsidRDefault="00EF3BC4">
          <w:pPr>
            <w:pStyle w:val="Sommario2"/>
            <w:tabs>
              <w:tab w:val="right" w:leader="dot" w:pos="9628"/>
            </w:tabs>
            <w:rPr>
              <w:rFonts w:eastAsiaTheme="minorEastAsia"/>
              <w:noProof/>
              <w:lang w:eastAsia="it-IT"/>
            </w:rPr>
          </w:pPr>
          <w:hyperlink w:anchor="_Toc192061648" w:history="1">
            <w:r w:rsidR="004648B7" w:rsidRPr="004648B7">
              <w:rPr>
                <w:rStyle w:val="Collegamentoipertestuale"/>
                <w:rFonts w:cstheme="minorHAnsi"/>
                <w:noProof/>
              </w:rPr>
              <w:t>LE GIUSTIFICAZIONI ALLA BASE DELLA COMBINAZIONE DI STRUMENTI FINANZIARI E SOVVENZIONI</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_Toc192061648 \h </w:instrText>
            </w:r>
            <w:r w:rsidR="004648B7" w:rsidRPr="004648B7">
              <w:rPr>
                <w:noProof/>
                <w:webHidden/>
              </w:rPr>
            </w:r>
            <w:r w:rsidR="004648B7" w:rsidRPr="004648B7">
              <w:rPr>
                <w:noProof/>
                <w:webHidden/>
              </w:rPr>
              <w:fldChar w:fldCharType="separate"/>
            </w:r>
            <w:r w:rsidR="004648B7" w:rsidRPr="004648B7">
              <w:rPr>
                <w:noProof/>
                <w:webHidden/>
              </w:rPr>
              <w:t>13</w:t>
            </w:r>
            <w:r w:rsidR="004648B7" w:rsidRPr="004648B7">
              <w:rPr>
                <w:noProof/>
                <w:webHidden/>
              </w:rPr>
              <w:fldChar w:fldCharType="end"/>
            </w:r>
          </w:hyperlink>
        </w:p>
        <w:p w14:paraId="37705A6E" w14:textId="04DE9059" w:rsidR="004648B7" w:rsidRPr="004648B7" w:rsidRDefault="00EF3BC4">
          <w:pPr>
            <w:pStyle w:val="Sommario2"/>
            <w:tabs>
              <w:tab w:val="right" w:leader="dot" w:pos="9628"/>
            </w:tabs>
            <w:rPr>
              <w:rFonts w:eastAsiaTheme="minorEastAsia"/>
              <w:noProof/>
              <w:lang w:eastAsia="it-IT"/>
            </w:rPr>
          </w:pPr>
          <w:hyperlink w:anchor="_Toc192061649" w:history="1">
            <w:r w:rsidR="004648B7" w:rsidRPr="004648B7">
              <w:rPr>
                <w:rStyle w:val="Collegamentoipertestuale"/>
                <w:rFonts w:cstheme="minorHAnsi"/>
                <w:noProof/>
              </w:rPr>
              <w:t>OBIETTIVI DEL FONDO “PATRIOMNIO PMI”</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_Toc192061649 \h </w:instrText>
            </w:r>
            <w:r w:rsidR="004648B7" w:rsidRPr="004648B7">
              <w:rPr>
                <w:noProof/>
                <w:webHidden/>
              </w:rPr>
            </w:r>
            <w:r w:rsidR="004648B7" w:rsidRPr="004648B7">
              <w:rPr>
                <w:noProof/>
                <w:webHidden/>
              </w:rPr>
              <w:fldChar w:fldCharType="separate"/>
            </w:r>
            <w:r w:rsidR="004648B7" w:rsidRPr="004648B7">
              <w:rPr>
                <w:noProof/>
                <w:webHidden/>
              </w:rPr>
              <w:t>14</w:t>
            </w:r>
            <w:r w:rsidR="004648B7" w:rsidRPr="004648B7">
              <w:rPr>
                <w:noProof/>
                <w:webHidden/>
              </w:rPr>
              <w:fldChar w:fldCharType="end"/>
            </w:r>
          </w:hyperlink>
        </w:p>
        <w:p w14:paraId="6C4A0C71" w14:textId="4AF7770A" w:rsidR="004648B7" w:rsidRPr="004648B7" w:rsidRDefault="00EF3BC4">
          <w:pPr>
            <w:pStyle w:val="Sommario2"/>
            <w:tabs>
              <w:tab w:val="right" w:leader="dot" w:pos="9628"/>
            </w:tabs>
            <w:rPr>
              <w:rFonts w:eastAsiaTheme="minorEastAsia"/>
              <w:noProof/>
              <w:lang w:eastAsia="it-IT"/>
            </w:rPr>
          </w:pPr>
          <w:hyperlink w:anchor="_Toc192061650" w:history="1">
            <w:r w:rsidR="004648B7" w:rsidRPr="004648B7">
              <w:rPr>
                <w:rStyle w:val="Collegamentoipertestuale"/>
                <w:rFonts w:cstheme="minorHAnsi"/>
                <w:noProof/>
              </w:rPr>
              <w:t>DESCRIZIONE SINTETICA DELL’INTERVENTO</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_Toc192061650 \h </w:instrText>
            </w:r>
            <w:r w:rsidR="004648B7" w:rsidRPr="004648B7">
              <w:rPr>
                <w:noProof/>
                <w:webHidden/>
              </w:rPr>
            </w:r>
            <w:r w:rsidR="004648B7" w:rsidRPr="004648B7">
              <w:rPr>
                <w:noProof/>
                <w:webHidden/>
              </w:rPr>
              <w:fldChar w:fldCharType="separate"/>
            </w:r>
            <w:r w:rsidR="004648B7" w:rsidRPr="004648B7">
              <w:rPr>
                <w:noProof/>
                <w:webHidden/>
              </w:rPr>
              <w:t>14</w:t>
            </w:r>
            <w:r w:rsidR="004648B7" w:rsidRPr="004648B7">
              <w:rPr>
                <w:noProof/>
                <w:webHidden/>
              </w:rPr>
              <w:fldChar w:fldCharType="end"/>
            </w:r>
          </w:hyperlink>
        </w:p>
        <w:p w14:paraId="6FCC4D20" w14:textId="1F732C43" w:rsidR="004648B7" w:rsidRPr="004648B7" w:rsidRDefault="00EF3BC4">
          <w:pPr>
            <w:pStyle w:val="Sommario1"/>
            <w:rPr>
              <w:rFonts w:eastAsiaTheme="minorEastAsia"/>
              <w:noProof/>
              <w:lang w:eastAsia="it-IT"/>
            </w:rPr>
          </w:pPr>
          <w:hyperlink w:anchor="_Toc192061651" w:history="1">
            <w:r w:rsidR="004648B7" w:rsidRPr="004648B7">
              <w:rPr>
                <w:rStyle w:val="Collegamentoipertestuale"/>
                <w:rFonts w:cstheme="minorHAnsi"/>
                <w:noProof/>
              </w:rPr>
              <w:t>DESTINATARI DELL’INTERVENTO</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_Toc192061651 \h </w:instrText>
            </w:r>
            <w:r w:rsidR="004648B7" w:rsidRPr="004648B7">
              <w:rPr>
                <w:noProof/>
                <w:webHidden/>
              </w:rPr>
            </w:r>
            <w:r w:rsidR="004648B7" w:rsidRPr="004648B7">
              <w:rPr>
                <w:noProof/>
                <w:webHidden/>
              </w:rPr>
              <w:fldChar w:fldCharType="separate"/>
            </w:r>
            <w:r w:rsidR="004648B7" w:rsidRPr="004648B7">
              <w:rPr>
                <w:noProof/>
                <w:webHidden/>
              </w:rPr>
              <w:t>16</w:t>
            </w:r>
            <w:r w:rsidR="004648B7" w:rsidRPr="004648B7">
              <w:rPr>
                <w:noProof/>
                <w:webHidden/>
              </w:rPr>
              <w:fldChar w:fldCharType="end"/>
            </w:r>
          </w:hyperlink>
        </w:p>
        <w:p w14:paraId="0BB7AB0E" w14:textId="1A30B3E0" w:rsidR="004648B7" w:rsidRPr="004648B7" w:rsidRDefault="00EF3BC4">
          <w:pPr>
            <w:pStyle w:val="Sommario2"/>
            <w:tabs>
              <w:tab w:val="right" w:leader="dot" w:pos="9628"/>
            </w:tabs>
            <w:rPr>
              <w:rFonts w:eastAsiaTheme="minorEastAsia"/>
              <w:noProof/>
              <w:lang w:eastAsia="it-IT"/>
            </w:rPr>
          </w:pPr>
          <w:hyperlink w:anchor="_Toc192061652" w:history="1">
            <w:r w:rsidR="004648B7" w:rsidRPr="004648B7">
              <w:rPr>
                <w:rStyle w:val="Collegamentoipertestuale"/>
                <w:rFonts w:cstheme="minorHAnsi"/>
                <w:noProof/>
              </w:rPr>
              <w:t>RISORSE A DISPOSIZIONE DELLA MISURA</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_Toc192061652 \h </w:instrText>
            </w:r>
            <w:r w:rsidR="004648B7" w:rsidRPr="004648B7">
              <w:rPr>
                <w:noProof/>
                <w:webHidden/>
              </w:rPr>
            </w:r>
            <w:r w:rsidR="004648B7" w:rsidRPr="004648B7">
              <w:rPr>
                <w:noProof/>
                <w:webHidden/>
              </w:rPr>
              <w:fldChar w:fldCharType="separate"/>
            </w:r>
            <w:r w:rsidR="004648B7" w:rsidRPr="004648B7">
              <w:rPr>
                <w:noProof/>
                <w:webHidden/>
              </w:rPr>
              <w:t>16</w:t>
            </w:r>
            <w:r w:rsidR="004648B7" w:rsidRPr="004648B7">
              <w:rPr>
                <w:noProof/>
                <w:webHidden/>
              </w:rPr>
              <w:fldChar w:fldCharType="end"/>
            </w:r>
          </w:hyperlink>
        </w:p>
        <w:p w14:paraId="2029F741" w14:textId="12E00FA3" w:rsidR="004648B7" w:rsidRPr="004648B7" w:rsidRDefault="00EF3BC4">
          <w:pPr>
            <w:pStyle w:val="Sommario2"/>
            <w:tabs>
              <w:tab w:val="right" w:leader="dot" w:pos="9628"/>
            </w:tabs>
            <w:rPr>
              <w:rFonts w:eastAsiaTheme="minorEastAsia"/>
              <w:noProof/>
              <w:lang w:eastAsia="it-IT"/>
            </w:rPr>
          </w:pPr>
          <w:hyperlink w:anchor="_Toc192061653" w:history="1">
            <w:r w:rsidR="004648B7" w:rsidRPr="004648B7">
              <w:rPr>
                <w:rStyle w:val="Collegamentoipertestuale"/>
                <w:rFonts w:cstheme="minorHAnsi"/>
                <w:noProof/>
              </w:rPr>
              <w:t>GESTORE DELLA MISURA E GESTIONE DEI FINANZIAMENTI</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_Toc192061653 \h </w:instrText>
            </w:r>
            <w:r w:rsidR="004648B7" w:rsidRPr="004648B7">
              <w:rPr>
                <w:noProof/>
                <w:webHidden/>
              </w:rPr>
            </w:r>
            <w:r w:rsidR="004648B7" w:rsidRPr="004648B7">
              <w:rPr>
                <w:noProof/>
                <w:webHidden/>
              </w:rPr>
              <w:fldChar w:fldCharType="separate"/>
            </w:r>
            <w:r w:rsidR="004648B7" w:rsidRPr="004648B7">
              <w:rPr>
                <w:noProof/>
                <w:webHidden/>
              </w:rPr>
              <w:t>17</w:t>
            </w:r>
            <w:r w:rsidR="004648B7" w:rsidRPr="004648B7">
              <w:rPr>
                <w:noProof/>
                <w:webHidden/>
              </w:rPr>
              <w:fldChar w:fldCharType="end"/>
            </w:r>
          </w:hyperlink>
        </w:p>
        <w:p w14:paraId="04FF30D0" w14:textId="4E36762F" w:rsidR="004648B7" w:rsidRPr="004648B7" w:rsidRDefault="00EF3BC4">
          <w:pPr>
            <w:pStyle w:val="Sommario2"/>
            <w:tabs>
              <w:tab w:val="right" w:leader="dot" w:pos="9628"/>
            </w:tabs>
            <w:rPr>
              <w:rFonts w:eastAsiaTheme="minorEastAsia"/>
              <w:noProof/>
              <w:lang w:eastAsia="it-IT"/>
            </w:rPr>
          </w:pPr>
          <w:hyperlink w:anchor="_Toc192061654" w:history="1">
            <w:r w:rsidR="004648B7" w:rsidRPr="004648B7">
              <w:rPr>
                <w:rStyle w:val="Collegamentoipertestuale"/>
                <w:rFonts w:cstheme="minorHAnsi"/>
                <w:noProof/>
              </w:rPr>
              <w:t>SIMULAZIONI ED EFFETTO LEVA</w:t>
            </w:r>
            <w:r w:rsidR="004648B7" w:rsidRPr="004648B7">
              <w:rPr>
                <w:noProof/>
                <w:webHidden/>
              </w:rPr>
              <w:tab/>
            </w:r>
            <w:r w:rsidR="004648B7" w:rsidRPr="004648B7">
              <w:rPr>
                <w:noProof/>
                <w:webHidden/>
              </w:rPr>
              <w:fldChar w:fldCharType="begin"/>
            </w:r>
            <w:r w:rsidR="004648B7" w:rsidRPr="004648B7">
              <w:rPr>
                <w:noProof/>
                <w:webHidden/>
              </w:rPr>
              <w:instrText xml:space="preserve"> PAGEREF _Toc192061654 \h </w:instrText>
            </w:r>
            <w:r w:rsidR="004648B7" w:rsidRPr="004648B7">
              <w:rPr>
                <w:noProof/>
                <w:webHidden/>
              </w:rPr>
            </w:r>
            <w:r w:rsidR="004648B7" w:rsidRPr="004648B7">
              <w:rPr>
                <w:noProof/>
                <w:webHidden/>
              </w:rPr>
              <w:fldChar w:fldCharType="separate"/>
            </w:r>
            <w:r w:rsidR="004648B7" w:rsidRPr="004648B7">
              <w:rPr>
                <w:noProof/>
                <w:webHidden/>
              </w:rPr>
              <w:t>17</w:t>
            </w:r>
            <w:r w:rsidR="004648B7" w:rsidRPr="004648B7">
              <w:rPr>
                <w:noProof/>
                <w:webHidden/>
              </w:rPr>
              <w:fldChar w:fldCharType="end"/>
            </w:r>
          </w:hyperlink>
        </w:p>
        <w:p w14:paraId="4CECB012" w14:textId="0FFAC3D3" w:rsidR="004575DC" w:rsidRPr="00063D2B" w:rsidRDefault="004575DC">
          <w:r w:rsidRPr="004648B7">
            <w:rPr>
              <w:bCs/>
            </w:rPr>
            <w:fldChar w:fldCharType="end"/>
          </w:r>
        </w:p>
      </w:sdtContent>
    </w:sdt>
    <w:p w14:paraId="2F2B9388" w14:textId="77777777" w:rsidR="004575DC" w:rsidRPr="00063D2B" w:rsidRDefault="004575DC" w:rsidP="0089604D">
      <w:pPr>
        <w:autoSpaceDE w:val="0"/>
        <w:autoSpaceDN w:val="0"/>
        <w:adjustRightInd w:val="0"/>
        <w:spacing w:after="0" w:line="240" w:lineRule="auto"/>
        <w:rPr>
          <w:rFonts w:cstheme="minorHAnsi"/>
          <w:b/>
          <w:bCs/>
          <w:u w:val="single"/>
        </w:rPr>
      </w:pPr>
    </w:p>
    <w:p w14:paraId="35C79EF3" w14:textId="77777777" w:rsidR="004575DC" w:rsidRPr="00063D2B" w:rsidRDefault="004575DC" w:rsidP="0089604D">
      <w:pPr>
        <w:autoSpaceDE w:val="0"/>
        <w:autoSpaceDN w:val="0"/>
        <w:adjustRightInd w:val="0"/>
        <w:spacing w:after="0" w:line="240" w:lineRule="auto"/>
        <w:rPr>
          <w:rFonts w:cstheme="minorHAnsi"/>
          <w:b/>
          <w:bCs/>
          <w:u w:val="single"/>
        </w:rPr>
      </w:pPr>
    </w:p>
    <w:p w14:paraId="4629A240" w14:textId="77777777" w:rsidR="004575DC" w:rsidRPr="00063D2B" w:rsidRDefault="004575DC">
      <w:pPr>
        <w:rPr>
          <w:rFonts w:cstheme="minorHAnsi"/>
          <w:b/>
          <w:bCs/>
          <w:u w:val="single"/>
        </w:rPr>
      </w:pPr>
      <w:r w:rsidRPr="00063D2B">
        <w:rPr>
          <w:rFonts w:cstheme="minorHAnsi"/>
          <w:b/>
          <w:bCs/>
          <w:u w:val="single"/>
        </w:rPr>
        <w:br w:type="page"/>
      </w:r>
    </w:p>
    <w:p w14:paraId="780D835F" w14:textId="6022E398" w:rsidR="0078127D" w:rsidRPr="004648B7" w:rsidRDefault="0078127D" w:rsidP="004648B7">
      <w:pPr>
        <w:pStyle w:val="Titolo1"/>
        <w:spacing w:after="120"/>
        <w:jc w:val="both"/>
        <w:rPr>
          <w:b/>
        </w:rPr>
      </w:pPr>
      <w:bookmarkStart w:id="1" w:name="_Toc192061642"/>
      <w:r w:rsidRPr="004648B7">
        <w:rPr>
          <w:b/>
        </w:rPr>
        <w:lastRenderedPageBreak/>
        <w:t>PREMESSA</w:t>
      </w:r>
      <w:bookmarkEnd w:id="1"/>
    </w:p>
    <w:p w14:paraId="59AEE813" w14:textId="77777777" w:rsidR="001D5683" w:rsidRDefault="0078127D" w:rsidP="00072512">
      <w:pPr>
        <w:spacing w:after="120" w:line="276" w:lineRule="auto"/>
        <w:jc w:val="both"/>
        <w:rPr>
          <w:rFonts w:eastAsia="Aptos" w:cstheme="minorHAnsi"/>
          <w:kern w:val="2"/>
          <w14:ligatures w14:val="standardContextual"/>
        </w:rPr>
      </w:pPr>
      <w:r w:rsidRPr="0078127D">
        <w:rPr>
          <w:rFonts w:eastAsia="Aptos" w:cstheme="minorHAnsi"/>
          <w:kern w:val="2"/>
          <w14:ligatures w14:val="standardContextual"/>
        </w:rPr>
        <w:t xml:space="preserve">In premessa si richiamano i documenti recanti la Strategia di Investimento, individuabili nella Valutazione ex Ante (VEXA), adottata con nota prot. n. 29165614 del 29/03/2023 dall’Autorità di Gestione ai sensi dell’articolo 58, paragrafo 3 del Regolamento (UE) 2021/1060, e nella Relazione tecnico illustrativa e nelle Schede Tecniche descrittive dei singoli SF, di cui agli Allegati dell’Accordo Quadro sottoscritto tra la Regione Marche (Settore “Industria, Artigianato e Credito”) e il soggetto mandatario del RTI “Credito Futuro Marche” e iscritto al REP_INT 2793 del 19/09/2023, a seguito dell’aggiudicazione avvenuta con Decreto del Dirigente del Settore “SUAM e Soggetto Aggregatore” n. 304 del 4 Luglio 2023. </w:t>
      </w:r>
    </w:p>
    <w:p w14:paraId="77287228" w14:textId="227410A2" w:rsidR="0078127D" w:rsidRDefault="0078127D" w:rsidP="00072512">
      <w:pPr>
        <w:spacing w:after="120" w:line="276" w:lineRule="auto"/>
        <w:jc w:val="both"/>
        <w:rPr>
          <w:rFonts w:eastAsia="Aptos" w:cstheme="minorHAnsi"/>
          <w:kern w:val="2"/>
          <w:highlight w:val="yellow"/>
          <w14:ligatures w14:val="standardContextual"/>
        </w:rPr>
      </w:pPr>
      <w:r w:rsidRPr="0078127D">
        <w:rPr>
          <w:rFonts w:eastAsia="Aptos" w:cstheme="minorHAnsi"/>
          <w:kern w:val="2"/>
          <w14:ligatures w14:val="standardContextual"/>
        </w:rPr>
        <w:t>I suddetti documenti costituiscono la formulazione iniziale della Strategia di Investimento in quanto descrivono le modalità di attuazione degli strumenti finanziari a valere sul PR Marche FESR 21-27 nella forma del “Fondo di Partecipazione”, individuano i prodotti finanziari da offrire e i destinatari finali che si intende raggiungere con essi e i casi in cui prevedere la combinazione con il sostegno sotto forma di sovvenzioni.</w:t>
      </w:r>
    </w:p>
    <w:p w14:paraId="674FA36B" w14:textId="77777777" w:rsidR="001D5683" w:rsidRDefault="001D5683" w:rsidP="001C59FF">
      <w:pPr>
        <w:pStyle w:val="Titolo2"/>
        <w:rPr>
          <w:rFonts w:cstheme="minorHAnsi"/>
          <w:b/>
          <w:sz w:val="24"/>
          <w:szCs w:val="24"/>
        </w:rPr>
      </w:pPr>
    </w:p>
    <w:p w14:paraId="4F4D5815" w14:textId="2609F6D9" w:rsidR="00684768" w:rsidRPr="00063D2B" w:rsidRDefault="00684768" w:rsidP="001C59FF">
      <w:pPr>
        <w:pStyle w:val="Titolo2"/>
        <w:rPr>
          <w:rFonts w:cstheme="minorHAnsi"/>
          <w:b/>
          <w:sz w:val="24"/>
          <w:szCs w:val="24"/>
        </w:rPr>
      </w:pPr>
      <w:bookmarkStart w:id="2" w:name="_Toc192061643"/>
      <w:r w:rsidRPr="00063D2B">
        <w:rPr>
          <w:rFonts w:cstheme="minorHAnsi"/>
          <w:b/>
          <w:sz w:val="24"/>
          <w:szCs w:val="24"/>
        </w:rPr>
        <w:t>LA SITUAZIONE CREDITIZIA IN ITALIA</w:t>
      </w:r>
      <w:bookmarkEnd w:id="2"/>
    </w:p>
    <w:p w14:paraId="653904BA"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Nel 2023 l'economia italiana ha subito un deciso rallentamento della crescita con il PIL che ha registrato un debole incremento dello 0,9% segnando una netta decelerazione rispetto al 4% dell’anno precedente. Questo rallentamento è attribuibile a vari fattori, tra cui la conclusione della ripresa post-pandemica, la riduzione della domanda internazionale e l'aumento dei costi energetici che ha influito sui settori produttivi. A questi elementi si sono aggiunte le politiche monetarie restrittive attuate dalla BCE per contenere l'inflazione.</w:t>
      </w:r>
    </w:p>
    <w:p w14:paraId="57775160"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La Banca d'Italia, in particolare, ha osservato un innalzamento dei tassi di interesse di oltre 150 punti base sui prestiti alle imprese riportandoli a livelli che non si registravano da più di un decennio. Le condizioni creditizie inasprite hanno avuto un impatto significativo sulle piccole e medie imprese (PMI), che, più delle grandi aziende, dipendono dal credito bancario per finanziare la propria operatività e crescita.</w:t>
      </w:r>
    </w:p>
    <w:p w14:paraId="1779A8BE"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In risposta all'aumento dei tassi e alla maggiore incertezza economica, le banche hanno adottato criteri di concessione del credito più selettivi, nel tentativo di ridurre il rischio di insolvenza tra i debitori. Di conseguenza, molte PMI, operando con margini di profitto ridotti, hanno riscontrato difficoltà nell'accesso a nuovi prestiti e hanno scelto di limitare le loro richieste di credito per evitare oneri finanziari insostenibili. Questa combinazione di fattori ha portato a una contrazione del credito per le PMI, con una riduzione della crescita annuale dei prestiti del 3,8% nel 2023. Tale contrazione non è stata uniforme: i settori della manifattura e delle costruzioni, caratterizzati da elevata intensità di capitale e costi operativi fissi, sono stati particolarmente colpiti, con un impatto diretto sulla capacità di investimento e sul livello di occupazione in questi settori.</w:t>
      </w:r>
    </w:p>
    <w:tbl>
      <w:tblPr>
        <w:tblW w:w="9583" w:type="dxa"/>
        <w:tblBorders>
          <w:top w:val="single" w:sz="4" w:space="0" w:color="auto"/>
        </w:tblBorders>
        <w:tblLayout w:type="fixed"/>
        <w:tblCellMar>
          <w:left w:w="70" w:type="dxa"/>
          <w:right w:w="70" w:type="dxa"/>
        </w:tblCellMar>
        <w:tblLook w:val="04A0" w:firstRow="1" w:lastRow="0" w:firstColumn="1" w:lastColumn="0" w:noHBand="0" w:noVBand="1"/>
      </w:tblPr>
      <w:tblGrid>
        <w:gridCol w:w="709"/>
        <w:gridCol w:w="360"/>
        <w:gridCol w:w="718"/>
        <w:gridCol w:w="709"/>
        <w:gridCol w:w="708"/>
        <w:gridCol w:w="709"/>
        <w:gridCol w:w="709"/>
        <w:gridCol w:w="709"/>
        <w:gridCol w:w="708"/>
        <w:gridCol w:w="709"/>
        <w:gridCol w:w="709"/>
        <w:gridCol w:w="709"/>
        <w:gridCol w:w="708"/>
        <w:gridCol w:w="709"/>
      </w:tblGrid>
      <w:tr w:rsidR="00684768" w:rsidRPr="00063D2B" w14:paraId="2F9C87FB" w14:textId="77777777" w:rsidTr="005E5068">
        <w:trPr>
          <w:trHeight w:val="63"/>
          <w:tblHeader/>
        </w:trPr>
        <w:tc>
          <w:tcPr>
            <w:tcW w:w="9583" w:type="dxa"/>
            <w:gridSpan w:val="14"/>
            <w:tcBorders>
              <w:top w:val="single" w:sz="4" w:space="0" w:color="auto"/>
            </w:tcBorders>
            <w:shd w:val="clear" w:color="auto" w:fill="2F5496" w:themeFill="accent1" w:themeFillShade="BF"/>
            <w:noWrap/>
            <w:vAlign w:val="bottom"/>
            <w:hideMark/>
          </w:tcPr>
          <w:p w14:paraId="314B44D6" w14:textId="77777777" w:rsidR="00684768" w:rsidRPr="00063D2B" w:rsidRDefault="00684768" w:rsidP="005E5068">
            <w:pPr>
              <w:spacing w:after="0" w:line="240" w:lineRule="auto"/>
              <w:jc w:val="center"/>
              <w:rPr>
                <w:rFonts w:eastAsia="Times New Roman" w:cstheme="minorHAnsi"/>
                <w:b/>
                <w:bCs/>
                <w:color w:val="FFFFFF" w:themeColor="background1"/>
                <w:sz w:val="20"/>
                <w:szCs w:val="20"/>
                <w:lang w:eastAsia="it-IT"/>
              </w:rPr>
            </w:pPr>
            <w:proofErr w:type="spellStart"/>
            <w:r w:rsidRPr="00063D2B">
              <w:rPr>
                <w:rFonts w:eastAsia="Times New Roman" w:cstheme="minorHAnsi"/>
                <w:b/>
                <w:bCs/>
                <w:color w:val="FFFFFF" w:themeColor="background1"/>
                <w:sz w:val="20"/>
                <w:szCs w:val="20"/>
                <w:lang w:eastAsia="it-IT"/>
              </w:rPr>
              <w:t>Tab</w:t>
            </w:r>
            <w:proofErr w:type="spellEnd"/>
            <w:r w:rsidRPr="00063D2B">
              <w:rPr>
                <w:rFonts w:eastAsia="Times New Roman" w:cstheme="minorHAnsi"/>
                <w:b/>
                <w:bCs/>
                <w:color w:val="FFFFFF" w:themeColor="background1"/>
                <w:sz w:val="20"/>
                <w:szCs w:val="20"/>
                <w:lang w:eastAsia="it-IT"/>
              </w:rPr>
              <w:t>. 1 -La domanda di credito delle imprese per settore di attività economica</w:t>
            </w:r>
            <w:r w:rsidRPr="00063D2B">
              <w:rPr>
                <w:rFonts w:eastAsia="Times New Roman" w:cstheme="minorHAnsi"/>
                <w:color w:val="FFFFFF" w:themeColor="background1"/>
                <w:sz w:val="20"/>
                <w:szCs w:val="20"/>
                <w:lang w:eastAsia="it-IT"/>
              </w:rPr>
              <w:t xml:space="preserve"> (1)</w:t>
            </w:r>
          </w:p>
        </w:tc>
      </w:tr>
      <w:tr w:rsidR="00684768" w:rsidRPr="00063D2B" w14:paraId="22258E4E" w14:textId="77777777" w:rsidTr="005E5068">
        <w:trPr>
          <w:trHeight w:val="73"/>
          <w:tblHeader/>
        </w:trPr>
        <w:tc>
          <w:tcPr>
            <w:tcW w:w="9583" w:type="dxa"/>
            <w:gridSpan w:val="14"/>
            <w:tcBorders>
              <w:top w:val="nil"/>
              <w:bottom w:val="single" w:sz="4" w:space="0" w:color="auto"/>
            </w:tcBorders>
            <w:shd w:val="clear" w:color="auto" w:fill="2F5496" w:themeFill="accent1" w:themeFillShade="BF"/>
            <w:noWrap/>
            <w:hideMark/>
          </w:tcPr>
          <w:p w14:paraId="2319718A" w14:textId="77777777" w:rsidR="00684768" w:rsidRPr="00063D2B" w:rsidRDefault="00684768" w:rsidP="005E5068">
            <w:pPr>
              <w:spacing w:after="0" w:line="240" w:lineRule="auto"/>
              <w:jc w:val="center"/>
              <w:rPr>
                <w:rFonts w:eastAsia="Times New Roman" w:cstheme="minorHAnsi"/>
                <w:i/>
                <w:iCs/>
                <w:color w:val="FFFFFF" w:themeColor="background1"/>
                <w:sz w:val="18"/>
                <w:szCs w:val="18"/>
                <w:lang w:eastAsia="it-IT"/>
              </w:rPr>
            </w:pPr>
            <w:r w:rsidRPr="00063D2B">
              <w:rPr>
                <w:rFonts w:eastAsia="Times New Roman" w:cstheme="minorHAnsi"/>
                <w:i/>
                <w:iCs/>
                <w:color w:val="FFFFFF" w:themeColor="background1"/>
                <w:sz w:val="18"/>
                <w:szCs w:val="18"/>
                <w:lang w:eastAsia="it-IT"/>
              </w:rPr>
              <w:t>(indici di diffusione; espansione (+) / contrazione (–) della domanda di credito)</w:t>
            </w:r>
          </w:p>
        </w:tc>
      </w:tr>
      <w:tr w:rsidR="00684768" w:rsidRPr="00063D2B" w14:paraId="11AF16D2" w14:textId="77777777" w:rsidTr="005E5068">
        <w:trPr>
          <w:trHeight w:val="288"/>
          <w:tblHeader/>
        </w:trPr>
        <w:tc>
          <w:tcPr>
            <w:tcW w:w="709" w:type="dxa"/>
            <w:tcBorders>
              <w:top w:val="single" w:sz="4" w:space="0" w:color="auto"/>
              <w:bottom w:val="single" w:sz="4" w:space="0" w:color="auto"/>
            </w:tcBorders>
            <w:shd w:val="clear" w:color="000000" w:fill="FFFFFF"/>
            <w:noWrap/>
            <w:vAlign w:val="bottom"/>
          </w:tcPr>
          <w:p w14:paraId="15D111A4"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360" w:type="dxa"/>
            <w:tcBorders>
              <w:top w:val="single" w:sz="4" w:space="0" w:color="auto"/>
              <w:bottom w:val="single" w:sz="4" w:space="0" w:color="auto"/>
            </w:tcBorders>
            <w:shd w:val="clear" w:color="000000" w:fill="FFFFFF"/>
            <w:noWrap/>
            <w:vAlign w:val="bottom"/>
          </w:tcPr>
          <w:p w14:paraId="109E891D"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2844" w:type="dxa"/>
            <w:gridSpan w:val="4"/>
            <w:tcBorders>
              <w:top w:val="single" w:sz="4" w:space="0" w:color="auto"/>
              <w:bottom w:val="single" w:sz="4" w:space="0" w:color="auto"/>
            </w:tcBorders>
            <w:shd w:val="clear" w:color="000000" w:fill="FFFFFF"/>
            <w:vAlign w:val="center"/>
            <w:hideMark/>
          </w:tcPr>
          <w:p w14:paraId="2CFECA6B" w14:textId="77777777" w:rsidR="00684768" w:rsidRPr="00063D2B" w:rsidRDefault="00684768" w:rsidP="005E5068">
            <w:pPr>
              <w:spacing w:after="0" w:line="240" w:lineRule="auto"/>
              <w:jc w:val="center"/>
              <w:rPr>
                <w:rFonts w:eastAsia="Times New Roman" w:cstheme="minorHAnsi"/>
                <w:b/>
                <w:bCs/>
                <w:sz w:val="20"/>
                <w:szCs w:val="20"/>
                <w:lang w:eastAsia="it-IT"/>
              </w:rPr>
            </w:pPr>
            <w:r w:rsidRPr="00063D2B">
              <w:rPr>
                <w:rFonts w:eastAsia="Times New Roman" w:cstheme="minorHAnsi"/>
                <w:b/>
                <w:bCs/>
                <w:sz w:val="20"/>
                <w:szCs w:val="20"/>
                <w:lang w:eastAsia="it-IT"/>
              </w:rPr>
              <w:t>Industria manifatturiera</w:t>
            </w:r>
          </w:p>
        </w:tc>
        <w:tc>
          <w:tcPr>
            <w:tcW w:w="2835" w:type="dxa"/>
            <w:gridSpan w:val="4"/>
            <w:tcBorders>
              <w:top w:val="single" w:sz="4" w:space="0" w:color="auto"/>
              <w:bottom w:val="single" w:sz="4" w:space="0" w:color="auto"/>
            </w:tcBorders>
            <w:shd w:val="clear" w:color="000000" w:fill="FFFFFF"/>
            <w:vAlign w:val="center"/>
            <w:hideMark/>
          </w:tcPr>
          <w:p w14:paraId="45A83D24" w14:textId="77777777" w:rsidR="00684768" w:rsidRPr="00063D2B" w:rsidRDefault="00684768" w:rsidP="005E5068">
            <w:pPr>
              <w:spacing w:after="0" w:line="240" w:lineRule="auto"/>
              <w:jc w:val="center"/>
              <w:rPr>
                <w:rFonts w:eastAsia="Times New Roman" w:cstheme="minorHAnsi"/>
                <w:b/>
                <w:bCs/>
                <w:sz w:val="20"/>
                <w:szCs w:val="20"/>
                <w:lang w:eastAsia="it-IT"/>
              </w:rPr>
            </w:pPr>
            <w:r w:rsidRPr="00063D2B">
              <w:rPr>
                <w:rFonts w:eastAsia="Times New Roman" w:cstheme="minorHAnsi"/>
                <w:b/>
                <w:bCs/>
                <w:sz w:val="20"/>
                <w:szCs w:val="20"/>
                <w:lang w:eastAsia="it-IT"/>
              </w:rPr>
              <w:t>Costruzioni</w:t>
            </w:r>
          </w:p>
        </w:tc>
        <w:tc>
          <w:tcPr>
            <w:tcW w:w="2835" w:type="dxa"/>
            <w:gridSpan w:val="4"/>
            <w:tcBorders>
              <w:top w:val="single" w:sz="4" w:space="0" w:color="auto"/>
              <w:bottom w:val="single" w:sz="4" w:space="0" w:color="auto"/>
            </w:tcBorders>
            <w:shd w:val="clear" w:color="000000" w:fill="FFFFFF"/>
            <w:vAlign w:val="center"/>
            <w:hideMark/>
          </w:tcPr>
          <w:p w14:paraId="623E78D9" w14:textId="77777777" w:rsidR="00684768" w:rsidRPr="00063D2B" w:rsidRDefault="00684768" w:rsidP="005E5068">
            <w:pPr>
              <w:spacing w:after="0" w:line="240" w:lineRule="auto"/>
              <w:jc w:val="center"/>
              <w:rPr>
                <w:rFonts w:eastAsia="Times New Roman" w:cstheme="minorHAnsi"/>
                <w:b/>
                <w:bCs/>
                <w:sz w:val="20"/>
                <w:szCs w:val="20"/>
                <w:lang w:eastAsia="it-IT"/>
              </w:rPr>
            </w:pPr>
            <w:r w:rsidRPr="00063D2B">
              <w:rPr>
                <w:rFonts w:eastAsia="Times New Roman" w:cstheme="minorHAnsi"/>
                <w:b/>
                <w:bCs/>
                <w:sz w:val="20"/>
                <w:szCs w:val="20"/>
                <w:lang w:eastAsia="it-IT"/>
              </w:rPr>
              <w:t>Servizi</w:t>
            </w:r>
          </w:p>
        </w:tc>
      </w:tr>
      <w:tr w:rsidR="00684768" w:rsidRPr="00063D2B" w14:paraId="375CC02C" w14:textId="77777777" w:rsidTr="005E5068">
        <w:trPr>
          <w:trHeight w:val="288"/>
          <w:tblHeader/>
        </w:trPr>
        <w:tc>
          <w:tcPr>
            <w:tcW w:w="709" w:type="dxa"/>
            <w:tcBorders>
              <w:top w:val="single" w:sz="4" w:space="0" w:color="auto"/>
              <w:bottom w:val="single" w:sz="4" w:space="0" w:color="auto"/>
            </w:tcBorders>
            <w:shd w:val="clear" w:color="000000" w:fill="FFFFFF"/>
            <w:noWrap/>
            <w:vAlign w:val="bottom"/>
          </w:tcPr>
          <w:p w14:paraId="050B1EAE"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360" w:type="dxa"/>
            <w:tcBorders>
              <w:top w:val="single" w:sz="4" w:space="0" w:color="auto"/>
              <w:bottom w:val="single" w:sz="4" w:space="0" w:color="auto"/>
            </w:tcBorders>
            <w:shd w:val="clear" w:color="000000" w:fill="FFFFFF"/>
            <w:noWrap/>
            <w:vAlign w:val="bottom"/>
          </w:tcPr>
          <w:p w14:paraId="16A4A905"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718" w:type="dxa"/>
            <w:tcBorders>
              <w:top w:val="single" w:sz="4" w:space="0" w:color="auto"/>
              <w:bottom w:val="single" w:sz="4" w:space="0" w:color="auto"/>
            </w:tcBorders>
            <w:shd w:val="clear" w:color="000000" w:fill="FFFFFF"/>
            <w:vAlign w:val="center"/>
            <w:hideMark/>
          </w:tcPr>
          <w:p w14:paraId="45F4D3F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Ovest</w:t>
            </w:r>
          </w:p>
        </w:tc>
        <w:tc>
          <w:tcPr>
            <w:tcW w:w="709" w:type="dxa"/>
            <w:tcBorders>
              <w:top w:val="single" w:sz="4" w:space="0" w:color="auto"/>
              <w:bottom w:val="single" w:sz="4" w:space="0" w:color="auto"/>
            </w:tcBorders>
            <w:shd w:val="clear" w:color="000000" w:fill="FFFFFF"/>
            <w:vAlign w:val="center"/>
            <w:hideMark/>
          </w:tcPr>
          <w:p w14:paraId="5C73CE6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Est</w:t>
            </w:r>
          </w:p>
        </w:tc>
        <w:tc>
          <w:tcPr>
            <w:tcW w:w="708" w:type="dxa"/>
            <w:tcBorders>
              <w:top w:val="single" w:sz="4" w:space="0" w:color="auto"/>
              <w:bottom w:val="single" w:sz="4" w:space="0" w:color="auto"/>
            </w:tcBorders>
            <w:shd w:val="clear" w:color="000000" w:fill="FFFFFF"/>
            <w:vAlign w:val="center"/>
            <w:hideMark/>
          </w:tcPr>
          <w:p w14:paraId="61C2C11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Centro</w:t>
            </w:r>
          </w:p>
        </w:tc>
        <w:tc>
          <w:tcPr>
            <w:tcW w:w="709" w:type="dxa"/>
            <w:tcBorders>
              <w:top w:val="single" w:sz="4" w:space="0" w:color="auto"/>
              <w:bottom w:val="single" w:sz="4" w:space="0" w:color="auto"/>
            </w:tcBorders>
            <w:shd w:val="clear" w:color="000000" w:fill="FFFFFF"/>
            <w:vAlign w:val="center"/>
            <w:hideMark/>
          </w:tcPr>
          <w:p w14:paraId="0776E14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Sud-Isole</w:t>
            </w:r>
          </w:p>
        </w:tc>
        <w:tc>
          <w:tcPr>
            <w:tcW w:w="709" w:type="dxa"/>
            <w:tcBorders>
              <w:top w:val="single" w:sz="4" w:space="0" w:color="auto"/>
              <w:bottom w:val="single" w:sz="4" w:space="0" w:color="auto"/>
            </w:tcBorders>
            <w:shd w:val="clear" w:color="000000" w:fill="FFFFFF"/>
            <w:vAlign w:val="center"/>
            <w:hideMark/>
          </w:tcPr>
          <w:p w14:paraId="76AE458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Ovest</w:t>
            </w:r>
          </w:p>
        </w:tc>
        <w:tc>
          <w:tcPr>
            <w:tcW w:w="709" w:type="dxa"/>
            <w:tcBorders>
              <w:top w:val="single" w:sz="4" w:space="0" w:color="auto"/>
              <w:bottom w:val="single" w:sz="4" w:space="0" w:color="auto"/>
            </w:tcBorders>
            <w:shd w:val="clear" w:color="000000" w:fill="FFFFFF"/>
            <w:vAlign w:val="center"/>
            <w:hideMark/>
          </w:tcPr>
          <w:p w14:paraId="16AE1DD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Est</w:t>
            </w:r>
          </w:p>
        </w:tc>
        <w:tc>
          <w:tcPr>
            <w:tcW w:w="708" w:type="dxa"/>
            <w:tcBorders>
              <w:top w:val="single" w:sz="4" w:space="0" w:color="auto"/>
              <w:bottom w:val="single" w:sz="4" w:space="0" w:color="auto"/>
            </w:tcBorders>
            <w:shd w:val="clear" w:color="000000" w:fill="FFFFFF"/>
            <w:vAlign w:val="center"/>
            <w:hideMark/>
          </w:tcPr>
          <w:p w14:paraId="30BC8E9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Centro</w:t>
            </w:r>
          </w:p>
        </w:tc>
        <w:tc>
          <w:tcPr>
            <w:tcW w:w="709" w:type="dxa"/>
            <w:tcBorders>
              <w:top w:val="single" w:sz="4" w:space="0" w:color="auto"/>
              <w:bottom w:val="single" w:sz="4" w:space="0" w:color="auto"/>
            </w:tcBorders>
            <w:shd w:val="clear" w:color="000000" w:fill="FFFFFF"/>
            <w:vAlign w:val="center"/>
            <w:hideMark/>
          </w:tcPr>
          <w:p w14:paraId="4CB7E30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Sud-Isole</w:t>
            </w:r>
          </w:p>
        </w:tc>
        <w:tc>
          <w:tcPr>
            <w:tcW w:w="709" w:type="dxa"/>
            <w:tcBorders>
              <w:top w:val="single" w:sz="4" w:space="0" w:color="auto"/>
              <w:bottom w:val="single" w:sz="4" w:space="0" w:color="auto"/>
            </w:tcBorders>
            <w:shd w:val="clear" w:color="000000" w:fill="FFFFFF"/>
            <w:vAlign w:val="center"/>
            <w:hideMark/>
          </w:tcPr>
          <w:p w14:paraId="458D035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Ovest</w:t>
            </w:r>
          </w:p>
        </w:tc>
        <w:tc>
          <w:tcPr>
            <w:tcW w:w="709" w:type="dxa"/>
            <w:tcBorders>
              <w:top w:val="single" w:sz="4" w:space="0" w:color="auto"/>
              <w:bottom w:val="single" w:sz="4" w:space="0" w:color="auto"/>
            </w:tcBorders>
            <w:shd w:val="clear" w:color="000000" w:fill="FFFFFF"/>
            <w:vAlign w:val="center"/>
            <w:hideMark/>
          </w:tcPr>
          <w:p w14:paraId="4DC525B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Est</w:t>
            </w:r>
          </w:p>
        </w:tc>
        <w:tc>
          <w:tcPr>
            <w:tcW w:w="708" w:type="dxa"/>
            <w:tcBorders>
              <w:top w:val="single" w:sz="4" w:space="0" w:color="auto"/>
              <w:bottom w:val="single" w:sz="4" w:space="0" w:color="auto"/>
            </w:tcBorders>
            <w:shd w:val="clear" w:color="000000" w:fill="FFFFFF"/>
            <w:vAlign w:val="center"/>
            <w:hideMark/>
          </w:tcPr>
          <w:p w14:paraId="1F45083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Centro</w:t>
            </w:r>
          </w:p>
        </w:tc>
        <w:tc>
          <w:tcPr>
            <w:tcW w:w="709" w:type="dxa"/>
            <w:tcBorders>
              <w:top w:val="single" w:sz="4" w:space="0" w:color="auto"/>
              <w:bottom w:val="single" w:sz="4" w:space="0" w:color="auto"/>
            </w:tcBorders>
            <w:shd w:val="clear" w:color="000000" w:fill="FFFFFF"/>
            <w:vAlign w:val="center"/>
            <w:hideMark/>
          </w:tcPr>
          <w:p w14:paraId="365A0AC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Sud-Isole</w:t>
            </w:r>
          </w:p>
        </w:tc>
      </w:tr>
      <w:tr w:rsidR="00684768" w:rsidRPr="00063D2B" w14:paraId="3957F563" w14:textId="77777777" w:rsidTr="005E5068">
        <w:trPr>
          <w:trHeight w:val="264"/>
        </w:trPr>
        <w:tc>
          <w:tcPr>
            <w:tcW w:w="709" w:type="dxa"/>
            <w:vMerge w:val="restart"/>
            <w:tcBorders>
              <w:top w:val="single" w:sz="4" w:space="0" w:color="auto"/>
            </w:tcBorders>
            <w:shd w:val="clear" w:color="000000" w:fill="FFFFFF"/>
            <w:noWrap/>
            <w:vAlign w:val="center"/>
            <w:hideMark/>
          </w:tcPr>
          <w:p w14:paraId="7C453B30"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2020</w:t>
            </w:r>
          </w:p>
        </w:tc>
        <w:tc>
          <w:tcPr>
            <w:tcW w:w="360" w:type="dxa"/>
            <w:tcBorders>
              <w:top w:val="single" w:sz="4" w:space="0" w:color="auto"/>
            </w:tcBorders>
            <w:shd w:val="clear" w:color="000000" w:fill="FFFFFF"/>
            <w:noWrap/>
            <w:vAlign w:val="bottom"/>
            <w:hideMark/>
          </w:tcPr>
          <w:p w14:paraId="06FC8D2A"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718" w:type="dxa"/>
            <w:tcBorders>
              <w:top w:val="single" w:sz="4" w:space="0" w:color="auto"/>
            </w:tcBorders>
            <w:shd w:val="clear" w:color="000000" w:fill="FFFFFF"/>
            <w:noWrap/>
            <w:vAlign w:val="center"/>
            <w:hideMark/>
          </w:tcPr>
          <w:p w14:paraId="21C026F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0,636</w:t>
            </w:r>
          </w:p>
        </w:tc>
        <w:tc>
          <w:tcPr>
            <w:tcW w:w="709" w:type="dxa"/>
            <w:tcBorders>
              <w:top w:val="single" w:sz="4" w:space="0" w:color="auto"/>
            </w:tcBorders>
            <w:shd w:val="clear" w:color="000000" w:fill="FFFFFF"/>
            <w:noWrap/>
            <w:vAlign w:val="center"/>
            <w:hideMark/>
          </w:tcPr>
          <w:p w14:paraId="63A315F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0,608</w:t>
            </w:r>
          </w:p>
        </w:tc>
        <w:tc>
          <w:tcPr>
            <w:tcW w:w="708" w:type="dxa"/>
            <w:tcBorders>
              <w:top w:val="single" w:sz="4" w:space="0" w:color="auto"/>
            </w:tcBorders>
            <w:shd w:val="clear" w:color="auto" w:fill="D5DCE4" w:themeFill="text2" w:themeFillTint="33"/>
            <w:noWrap/>
            <w:vAlign w:val="center"/>
            <w:hideMark/>
          </w:tcPr>
          <w:p w14:paraId="028D73F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0,670</w:t>
            </w:r>
          </w:p>
        </w:tc>
        <w:tc>
          <w:tcPr>
            <w:tcW w:w="709" w:type="dxa"/>
            <w:tcBorders>
              <w:top w:val="single" w:sz="4" w:space="0" w:color="auto"/>
            </w:tcBorders>
            <w:shd w:val="clear" w:color="000000" w:fill="FFFFFF"/>
            <w:noWrap/>
            <w:vAlign w:val="center"/>
            <w:hideMark/>
          </w:tcPr>
          <w:p w14:paraId="07A704D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0,653</w:t>
            </w:r>
          </w:p>
        </w:tc>
        <w:tc>
          <w:tcPr>
            <w:tcW w:w="709" w:type="dxa"/>
            <w:tcBorders>
              <w:top w:val="single" w:sz="4" w:space="0" w:color="auto"/>
            </w:tcBorders>
            <w:shd w:val="clear" w:color="000000" w:fill="FFFFFF"/>
            <w:noWrap/>
            <w:vAlign w:val="center"/>
            <w:hideMark/>
          </w:tcPr>
          <w:p w14:paraId="2D72008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-0,003</w:t>
            </w:r>
          </w:p>
        </w:tc>
        <w:tc>
          <w:tcPr>
            <w:tcW w:w="709" w:type="dxa"/>
            <w:tcBorders>
              <w:top w:val="single" w:sz="4" w:space="0" w:color="auto"/>
            </w:tcBorders>
            <w:shd w:val="clear" w:color="000000" w:fill="FFFFFF"/>
            <w:noWrap/>
            <w:vAlign w:val="center"/>
            <w:hideMark/>
          </w:tcPr>
          <w:p w14:paraId="098B2A0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0,042</w:t>
            </w:r>
          </w:p>
        </w:tc>
        <w:tc>
          <w:tcPr>
            <w:tcW w:w="708" w:type="dxa"/>
            <w:tcBorders>
              <w:top w:val="single" w:sz="4" w:space="0" w:color="auto"/>
            </w:tcBorders>
            <w:shd w:val="clear" w:color="auto" w:fill="D5DCE4" w:themeFill="text2" w:themeFillTint="33"/>
            <w:noWrap/>
            <w:vAlign w:val="center"/>
            <w:hideMark/>
          </w:tcPr>
          <w:p w14:paraId="3AD7335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-0,026</w:t>
            </w:r>
          </w:p>
        </w:tc>
        <w:tc>
          <w:tcPr>
            <w:tcW w:w="709" w:type="dxa"/>
            <w:tcBorders>
              <w:top w:val="single" w:sz="4" w:space="0" w:color="auto"/>
            </w:tcBorders>
            <w:shd w:val="clear" w:color="000000" w:fill="FFFFFF"/>
            <w:noWrap/>
            <w:vAlign w:val="center"/>
            <w:hideMark/>
          </w:tcPr>
          <w:p w14:paraId="6CD9003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-0,104</w:t>
            </w:r>
          </w:p>
        </w:tc>
        <w:tc>
          <w:tcPr>
            <w:tcW w:w="709" w:type="dxa"/>
            <w:tcBorders>
              <w:top w:val="single" w:sz="4" w:space="0" w:color="auto"/>
            </w:tcBorders>
            <w:shd w:val="clear" w:color="000000" w:fill="FFFFFF"/>
            <w:noWrap/>
            <w:vAlign w:val="center"/>
            <w:hideMark/>
          </w:tcPr>
          <w:p w14:paraId="5BEAD05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0,686</w:t>
            </w:r>
          </w:p>
        </w:tc>
        <w:tc>
          <w:tcPr>
            <w:tcW w:w="709" w:type="dxa"/>
            <w:tcBorders>
              <w:top w:val="single" w:sz="4" w:space="0" w:color="auto"/>
            </w:tcBorders>
            <w:shd w:val="clear" w:color="000000" w:fill="FFFFFF"/>
            <w:noWrap/>
            <w:vAlign w:val="center"/>
            <w:hideMark/>
          </w:tcPr>
          <w:p w14:paraId="5A48869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0,648</w:t>
            </w:r>
          </w:p>
        </w:tc>
        <w:tc>
          <w:tcPr>
            <w:tcW w:w="708" w:type="dxa"/>
            <w:tcBorders>
              <w:top w:val="single" w:sz="4" w:space="0" w:color="auto"/>
            </w:tcBorders>
            <w:shd w:val="clear" w:color="auto" w:fill="D5DCE4" w:themeFill="text2" w:themeFillTint="33"/>
            <w:noWrap/>
            <w:vAlign w:val="center"/>
            <w:hideMark/>
          </w:tcPr>
          <w:p w14:paraId="2B5FD33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0,737</w:t>
            </w:r>
          </w:p>
        </w:tc>
        <w:tc>
          <w:tcPr>
            <w:tcW w:w="709" w:type="dxa"/>
            <w:tcBorders>
              <w:top w:val="single" w:sz="4" w:space="0" w:color="auto"/>
            </w:tcBorders>
            <w:shd w:val="clear" w:color="000000" w:fill="FFFFFF"/>
            <w:noWrap/>
            <w:vAlign w:val="center"/>
            <w:hideMark/>
          </w:tcPr>
          <w:p w14:paraId="163639E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0,719</w:t>
            </w:r>
          </w:p>
        </w:tc>
      </w:tr>
      <w:tr w:rsidR="00684768" w:rsidRPr="00063D2B" w14:paraId="3133A881" w14:textId="77777777" w:rsidTr="005E5068">
        <w:trPr>
          <w:trHeight w:val="264"/>
        </w:trPr>
        <w:tc>
          <w:tcPr>
            <w:tcW w:w="709" w:type="dxa"/>
            <w:vMerge/>
            <w:shd w:val="clear" w:color="000000" w:fill="FFFFFF"/>
            <w:noWrap/>
            <w:vAlign w:val="center"/>
            <w:hideMark/>
          </w:tcPr>
          <w:p w14:paraId="7E6D9FB7" w14:textId="77777777" w:rsidR="00684768" w:rsidRPr="00063D2B" w:rsidRDefault="00684768" w:rsidP="005E5068">
            <w:pPr>
              <w:spacing w:after="0" w:line="240" w:lineRule="auto"/>
              <w:rPr>
                <w:rFonts w:eastAsia="Times New Roman" w:cstheme="minorHAnsi"/>
                <w:sz w:val="20"/>
                <w:szCs w:val="20"/>
                <w:lang w:eastAsia="it-IT"/>
              </w:rPr>
            </w:pPr>
          </w:p>
        </w:tc>
        <w:tc>
          <w:tcPr>
            <w:tcW w:w="360" w:type="dxa"/>
            <w:shd w:val="clear" w:color="000000" w:fill="FFFFFF"/>
            <w:noWrap/>
            <w:vAlign w:val="bottom"/>
            <w:hideMark/>
          </w:tcPr>
          <w:p w14:paraId="4E953DFE" w14:textId="03270BD2"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r w:rsidR="005809D7">
              <w:rPr>
                <w:rFonts w:eastAsia="Times New Roman" w:cstheme="minorHAnsi"/>
                <w:sz w:val="20"/>
                <w:szCs w:val="20"/>
                <w:lang w:eastAsia="it-IT"/>
              </w:rPr>
              <w:t>I</w:t>
            </w:r>
          </w:p>
        </w:tc>
        <w:tc>
          <w:tcPr>
            <w:tcW w:w="718" w:type="dxa"/>
            <w:shd w:val="clear" w:color="000000" w:fill="FFFFFF"/>
            <w:noWrap/>
            <w:vAlign w:val="center"/>
            <w:hideMark/>
          </w:tcPr>
          <w:p w14:paraId="4E7825B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0,621</w:t>
            </w:r>
          </w:p>
        </w:tc>
        <w:tc>
          <w:tcPr>
            <w:tcW w:w="709" w:type="dxa"/>
            <w:shd w:val="clear" w:color="000000" w:fill="FFFFFF"/>
            <w:noWrap/>
            <w:vAlign w:val="center"/>
            <w:hideMark/>
          </w:tcPr>
          <w:p w14:paraId="724AF12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0,581</w:t>
            </w:r>
          </w:p>
        </w:tc>
        <w:tc>
          <w:tcPr>
            <w:tcW w:w="708" w:type="dxa"/>
            <w:shd w:val="clear" w:color="auto" w:fill="D5DCE4" w:themeFill="text2" w:themeFillTint="33"/>
            <w:noWrap/>
            <w:vAlign w:val="center"/>
            <w:hideMark/>
          </w:tcPr>
          <w:p w14:paraId="40118C8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0,637</w:t>
            </w:r>
          </w:p>
        </w:tc>
        <w:tc>
          <w:tcPr>
            <w:tcW w:w="709" w:type="dxa"/>
            <w:shd w:val="clear" w:color="000000" w:fill="FFFFFF"/>
            <w:noWrap/>
            <w:vAlign w:val="center"/>
            <w:hideMark/>
          </w:tcPr>
          <w:p w14:paraId="7C48F58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0,681</w:t>
            </w:r>
          </w:p>
        </w:tc>
        <w:tc>
          <w:tcPr>
            <w:tcW w:w="709" w:type="dxa"/>
            <w:shd w:val="clear" w:color="000000" w:fill="FFFFFF"/>
            <w:noWrap/>
            <w:vAlign w:val="center"/>
            <w:hideMark/>
          </w:tcPr>
          <w:p w14:paraId="160017C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0,466</w:t>
            </w:r>
          </w:p>
        </w:tc>
        <w:tc>
          <w:tcPr>
            <w:tcW w:w="709" w:type="dxa"/>
            <w:shd w:val="clear" w:color="000000" w:fill="FFFFFF"/>
            <w:noWrap/>
            <w:vAlign w:val="center"/>
            <w:hideMark/>
          </w:tcPr>
          <w:p w14:paraId="1C9C2D8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0,378</w:t>
            </w:r>
          </w:p>
        </w:tc>
        <w:tc>
          <w:tcPr>
            <w:tcW w:w="708" w:type="dxa"/>
            <w:shd w:val="clear" w:color="auto" w:fill="D5DCE4" w:themeFill="text2" w:themeFillTint="33"/>
            <w:noWrap/>
            <w:vAlign w:val="center"/>
            <w:hideMark/>
          </w:tcPr>
          <w:p w14:paraId="2E8BEC9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0,383</w:t>
            </w:r>
          </w:p>
        </w:tc>
        <w:tc>
          <w:tcPr>
            <w:tcW w:w="709" w:type="dxa"/>
            <w:shd w:val="clear" w:color="000000" w:fill="FFFFFF"/>
            <w:noWrap/>
            <w:vAlign w:val="center"/>
            <w:hideMark/>
          </w:tcPr>
          <w:p w14:paraId="49000E1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0,501</w:t>
            </w:r>
          </w:p>
        </w:tc>
        <w:tc>
          <w:tcPr>
            <w:tcW w:w="709" w:type="dxa"/>
            <w:shd w:val="clear" w:color="000000" w:fill="FFFFFF"/>
            <w:noWrap/>
            <w:vAlign w:val="center"/>
            <w:hideMark/>
          </w:tcPr>
          <w:p w14:paraId="2229226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0,597</w:t>
            </w:r>
          </w:p>
        </w:tc>
        <w:tc>
          <w:tcPr>
            <w:tcW w:w="709" w:type="dxa"/>
            <w:shd w:val="clear" w:color="000000" w:fill="FFFFFF"/>
            <w:noWrap/>
            <w:vAlign w:val="center"/>
            <w:hideMark/>
          </w:tcPr>
          <w:p w14:paraId="1F1AB7E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0,508</w:t>
            </w:r>
          </w:p>
        </w:tc>
        <w:tc>
          <w:tcPr>
            <w:tcW w:w="708" w:type="dxa"/>
            <w:shd w:val="clear" w:color="auto" w:fill="D5DCE4" w:themeFill="text2" w:themeFillTint="33"/>
            <w:noWrap/>
            <w:vAlign w:val="center"/>
            <w:hideMark/>
          </w:tcPr>
          <w:p w14:paraId="5F0D8F2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0,608</w:t>
            </w:r>
          </w:p>
        </w:tc>
        <w:tc>
          <w:tcPr>
            <w:tcW w:w="709" w:type="dxa"/>
            <w:shd w:val="clear" w:color="000000" w:fill="FFFFFF"/>
            <w:noWrap/>
            <w:vAlign w:val="center"/>
            <w:hideMark/>
          </w:tcPr>
          <w:p w14:paraId="263A9A0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0,669</w:t>
            </w:r>
          </w:p>
        </w:tc>
      </w:tr>
      <w:tr w:rsidR="00684768" w:rsidRPr="00063D2B" w14:paraId="372AC10A" w14:textId="77777777" w:rsidTr="005E5068">
        <w:trPr>
          <w:trHeight w:val="264"/>
        </w:trPr>
        <w:tc>
          <w:tcPr>
            <w:tcW w:w="709" w:type="dxa"/>
            <w:vMerge w:val="restart"/>
            <w:shd w:val="clear" w:color="000000" w:fill="FFFFFF"/>
            <w:noWrap/>
            <w:vAlign w:val="center"/>
            <w:hideMark/>
          </w:tcPr>
          <w:p w14:paraId="25D42BEA"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2021</w:t>
            </w:r>
          </w:p>
        </w:tc>
        <w:tc>
          <w:tcPr>
            <w:tcW w:w="360" w:type="dxa"/>
            <w:shd w:val="clear" w:color="000000" w:fill="FFFFFF"/>
            <w:noWrap/>
            <w:vAlign w:val="bottom"/>
            <w:hideMark/>
          </w:tcPr>
          <w:p w14:paraId="57A57BAF"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718" w:type="dxa"/>
            <w:shd w:val="clear" w:color="000000" w:fill="FFFFFF"/>
            <w:noWrap/>
            <w:vAlign w:val="center"/>
            <w:hideMark/>
          </w:tcPr>
          <w:p w14:paraId="0286D3F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-0,289</w:t>
            </w:r>
          </w:p>
        </w:tc>
        <w:tc>
          <w:tcPr>
            <w:tcW w:w="709" w:type="dxa"/>
            <w:shd w:val="clear" w:color="000000" w:fill="FFFFFF"/>
            <w:noWrap/>
            <w:vAlign w:val="center"/>
            <w:hideMark/>
          </w:tcPr>
          <w:p w14:paraId="097DCFE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-0,265</w:t>
            </w:r>
          </w:p>
        </w:tc>
        <w:tc>
          <w:tcPr>
            <w:tcW w:w="708" w:type="dxa"/>
            <w:shd w:val="clear" w:color="auto" w:fill="D5DCE4" w:themeFill="text2" w:themeFillTint="33"/>
            <w:noWrap/>
            <w:vAlign w:val="center"/>
            <w:hideMark/>
          </w:tcPr>
          <w:p w14:paraId="3A9E3E8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-0,230</w:t>
            </w:r>
          </w:p>
        </w:tc>
        <w:tc>
          <w:tcPr>
            <w:tcW w:w="709" w:type="dxa"/>
            <w:shd w:val="clear" w:color="000000" w:fill="FFFFFF"/>
            <w:noWrap/>
            <w:vAlign w:val="center"/>
            <w:hideMark/>
          </w:tcPr>
          <w:p w14:paraId="63D13E1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-0,178</w:t>
            </w:r>
          </w:p>
        </w:tc>
        <w:tc>
          <w:tcPr>
            <w:tcW w:w="709" w:type="dxa"/>
            <w:shd w:val="clear" w:color="000000" w:fill="FFFFFF"/>
            <w:noWrap/>
            <w:vAlign w:val="center"/>
            <w:hideMark/>
          </w:tcPr>
          <w:p w14:paraId="6D48A5D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0,132</w:t>
            </w:r>
          </w:p>
        </w:tc>
        <w:tc>
          <w:tcPr>
            <w:tcW w:w="709" w:type="dxa"/>
            <w:shd w:val="clear" w:color="000000" w:fill="FFFFFF"/>
            <w:noWrap/>
            <w:vAlign w:val="center"/>
            <w:hideMark/>
          </w:tcPr>
          <w:p w14:paraId="17100C7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0,189</w:t>
            </w:r>
          </w:p>
        </w:tc>
        <w:tc>
          <w:tcPr>
            <w:tcW w:w="708" w:type="dxa"/>
            <w:shd w:val="clear" w:color="auto" w:fill="D5DCE4" w:themeFill="text2" w:themeFillTint="33"/>
            <w:noWrap/>
            <w:vAlign w:val="center"/>
            <w:hideMark/>
          </w:tcPr>
          <w:p w14:paraId="5DBC055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0,188</w:t>
            </w:r>
          </w:p>
        </w:tc>
        <w:tc>
          <w:tcPr>
            <w:tcW w:w="709" w:type="dxa"/>
            <w:shd w:val="clear" w:color="000000" w:fill="FFFFFF"/>
            <w:noWrap/>
            <w:vAlign w:val="center"/>
            <w:hideMark/>
          </w:tcPr>
          <w:p w14:paraId="1125534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0,358</w:t>
            </w:r>
          </w:p>
        </w:tc>
        <w:tc>
          <w:tcPr>
            <w:tcW w:w="709" w:type="dxa"/>
            <w:shd w:val="clear" w:color="000000" w:fill="FFFFFF"/>
            <w:noWrap/>
            <w:vAlign w:val="center"/>
            <w:hideMark/>
          </w:tcPr>
          <w:p w14:paraId="5FF812D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-0,317</w:t>
            </w:r>
          </w:p>
        </w:tc>
        <w:tc>
          <w:tcPr>
            <w:tcW w:w="709" w:type="dxa"/>
            <w:shd w:val="clear" w:color="000000" w:fill="FFFFFF"/>
            <w:noWrap/>
            <w:vAlign w:val="center"/>
            <w:hideMark/>
          </w:tcPr>
          <w:p w14:paraId="4AF6E83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-0,281</w:t>
            </w:r>
          </w:p>
        </w:tc>
        <w:tc>
          <w:tcPr>
            <w:tcW w:w="708" w:type="dxa"/>
            <w:shd w:val="clear" w:color="auto" w:fill="D5DCE4" w:themeFill="text2" w:themeFillTint="33"/>
            <w:noWrap/>
            <w:vAlign w:val="center"/>
            <w:hideMark/>
          </w:tcPr>
          <w:p w14:paraId="7D367AD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-0,204</w:t>
            </w:r>
          </w:p>
        </w:tc>
        <w:tc>
          <w:tcPr>
            <w:tcW w:w="709" w:type="dxa"/>
            <w:shd w:val="clear" w:color="000000" w:fill="FFFFFF"/>
            <w:noWrap/>
            <w:vAlign w:val="center"/>
            <w:hideMark/>
          </w:tcPr>
          <w:p w14:paraId="2E13582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-0,241</w:t>
            </w:r>
          </w:p>
        </w:tc>
      </w:tr>
      <w:tr w:rsidR="00684768" w:rsidRPr="00063D2B" w14:paraId="47459728" w14:textId="77777777" w:rsidTr="005E5068">
        <w:trPr>
          <w:trHeight w:val="264"/>
        </w:trPr>
        <w:tc>
          <w:tcPr>
            <w:tcW w:w="709" w:type="dxa"/>
            <w:vMerge/>
            <w:shd w:val="clear" w:color="000000" w:fill="FFFFFF"/>
            <w:noWrap/>
            <w:vAlign w:val="center"/>
            <w:hideMark/>
          </w:tcPr>
          <w:p w14:paraId="7E3C7EC9" w14:textId="77777777" w:rsidR="00684768" w:rsidRPr="00063D2B" w:rsidRDefault="00684768" w:rsidP="005E5068">
            <w:pPr>
              <w:spacing w:after="0" w:line="240" w:lineRule="auto"/>
              <w:rPr>
                <w:rFonts w:eastAsia="Times New Roman" w:cstheme="minorHAnsi"/>
                <w:sz w:val="20"/>
                <w:szCs w:val="20"/>
                <w:lang w:eastAsia="it-IT"/>
              </w:rPr>
            </w:pPr>
          </w:p>
        </w:tc>
        <w:tc>
          <w:tcPr>
            <w:tcW w:w="360" w:type="dxa"/>
            <w:shd w:val="clear" w:color="000000" w:fill="FFFFFF"/>
            <w:noWrap/>
            <w:vAlign w:val="bottom"/>
            <w:hideMark/>
          </w:tcPr>
          <w:p w14:paraId="71D8E345"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718" w:type="dxa"/>
            <w:shd w:val="clear" w:color="000000" w:fill="FFFFFF"/>
            <w:noWrap/>
            <w:vAlign w:val="center"/>
            <w:hideMark/>
          </w:tcPr>
          <w:p w14:paraId="2893D0D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-0,159</w:t>
            </w:r>
          </w:p>
        </w:tc>
        <w:tc>
          <w:tcPr>
            <w:tcW w:w="709" w:type="dxa"/>
            <w:shd w:val="clear" w:color="000000" w:fill="FFFFFF"/>
            <w:noWrap/>
            <w:vAlign w:val="center"/>
            <w:hideMark/>
          </w:tcPr>
          <w:p w14:paraId="49BEBA6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-0,010</w:t>
            </w:r>
          </w:p>
        </w:tc>
        <w:tc>
          <w:tcPr>
            <w:tcW w:w="708" w:type="dxa"/>
            <w:shd w:val="clear" w:color="auto" w:fill="D5DCE4" w:themeFill="text2" w:themeFillTint="33"/>
            <w:noWrap/>
            <w:vAlign w:val="center"/>
            <w:hideMark/>
          </w:tcPr>
          <w:p w14:paraId="3502623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-0,103</w:t>
            </w:r>
          </w:p>
        </w:tc>
        <w:tc>
          <w:tcPr>
            <w:tcW w:w="709" w:type="dxa"/>
            <w:shd w:val="clear" w:color="000000" w:fill="FFFFFF"/>
            <w:noWrap/>
            <w:vAlign w:val="center"/>
            <w:hideMark/>
          </w:tcPr>
          <w:p w14:paraId="377E3BB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-0,093</w:t>
            </w:r>
          </w:p>
        </w:tc>
        <w:tc>
          <w:tcPr>
            <w:tcW w:w="709" w:type="dxa"/>
            <w:shd w:val="clear" w:color="000000" w:fill="FFFFFF"/>
            <w:noWrap/>
            <w:vAlign w:val="center"/>
            <w:hideMark/>
          </w:tcPr>
          <w:p w14:paraId="00C662C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0,011</w:t>
            </w:r>
          </w:p>
        </w:tc>
        <w:tc>
          <w:tcPr>
            <w:tcW w:w="709" w:type="dxa"/>
            <w:shd w:val="clear" w:color="000000" w:fill="FFFFFF"/>
            <w:noWrap/>
            <w:vAlign w:val="center"/>
            <w:hideMark/>
          </w:tcPr>
          <w:p w14:paraId="55C8511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0,214</w:t>
            </w:r>
          </w:p>
        </w:tc>
        <w:tc>
          <w:tcPr>
            <w:tcW w:w="708" w:type="dxa"/>
            <w:shd w:val="clear" w:color="auto" w:fill="D5DCE4" w:themeFill="text2" w:themeFillTint="33"/>
            <w:noWrap/>
            <w:vAlign w:val="center"/>
            <w:hideMark/>
          </w:tcPr>
          <w:p w14:paraId="00DB052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0,386</w:t>
            </w:r>
          </w:p>
        </w:tc>
        <w:tc>
          <w:tcPr>
            <w:tcW w:w="709" w:type="dxa"/>
            <w:shd w:val="clear" w:color="000000" w:fill="FFFFFF"/>
            <w:noWrap/>
            <w:vAlign w:val="center"/>
            <w:hideMark/>
          </w:tcPr>
          <w:p w14:paraId="6D61271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0,279</w:t>
            </w:r>
          </w:p>
        </w:tc>
        <w:tc>
          <w:tcPr>
            <w:tcW w:w="709" w:type="dxa"/>
            <w:shd w:val="clear" w:color="000000" w:fill="FFFFFF"/>
            <w:noWrap/>
            <w:vAlign w:val="center"/>
            <w:hideMark/>
          </w:tcPr>
          <w:p w14:paraId="4324B41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-0,046</w:t>
            </w:r>
          </w:p>
        </w:tc>
        <w:tc>
          <w:tcPr>
            <w:tcW w:w="709" w:type="dxa"/>
            <w:shd w:val="clear" w:color="000000" w:fill="FFFFFF"/>
            <w:noWrap/>
            <w:vAlign w:val="center"/>
            <w:hideMark/>
          </w:tcPr>
          <w:p w14:paraId="721D673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-0,069</w:t>
            </w:r>
          </w:p>
        </w:tc>
        <w:tc>
          <w:tcPr>
            <w:tcW w:w="708" w:type="dxa"/>
            <w:shd w:val="clear" w:color="auto" w:fill="D5DCE4" w:themeFill="text2" w:themeFillTint="33"/>
            <w:noWrap/>
            <w:vAlign w:val="center"/>
            <w:hideMark/>
          </w:tcPr>
          <w:p w14:paraId="6D0D7DC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-0,092</w:t>
            </w:r>
          </w:p>
        </w:tc>
        <w:tc>
          <w:tcPr>
            <w:tcW w:w="709" w:type="dxa"/>
            <w:shd w:val="clear" w:color="000000" w:fill="FFFFFF"/>
            <w:noWrap/>
            <w:vAlign w:val="center"/>
            <w:hideMark/>
          </w:tcPr>
          <w:p w14:paraId="399FECA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-0,185</w:t>
            </w:r>
          </w:p>
        </w:tc>
      </w:tr>
      <w:tr w:rsidR="00684768" w:rsidRPr="00063D2B" w14:paraId="40CBF0AD" w14:textId="77777777" w:rsidTr="005E5068">
        <w:trPr>
          <w:trHeight w:val="264"/>
        </w:trPr>
        <w:tc>
          <w:tcPr>
            <w:tcW w:w="709" w:type="dxa"/>
            <w:vMerge w:val="restart"/>
            <w:shd w:val="clear" w:color="000000" w:fill="FFFFFF"/>
            <w:noWrap/>
            <w:vAlign w:val="center"/>
            <w:hideMark/>
          </w:tcPr>
          <w:p w14:paraId="53C4BBFC"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2022</w:t>
            </w:r>
          </w:p>
        </w:tc>
        <w:tc>
          <w:tcPr>
            <w:tcW w:w="360" w:type="dxa"/>
            <w:shd w:val="clear" w:color="000000" w:fill="FFFFFF"/>
            <w:noWrap/>
            <w:vAlign w:val="bottom"/>
            <w:hideMark/>
          </w:tcPr>
          <w:p w14:paraId="3D6CA650"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718" w:type="dxa"/>
            <w:shd w:val="clear" w:color="000000" w:fill="FFFFFF"/>
            <w:noWrap/>
            <w:vAlign w:val="center"/>
            <w:hideMark/>
          </w:tcPr>
          <w:p w14:paraId="0C3516E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0,474</w:t>
            </w:r>
          </w:p>
        </w:tc>
        <w:tc>
          <w:tcPr>
            <w:tcW w:w="709" w:type="dxa"/>
            <w:shd w:val="clear" w:color="000000" w:fill="FFFFFF"/>
            <w:noWrap/>
            <w:vAlign w:val="center"/>
            <w:hideMark/>
          </w:tcPr>
          <w:p w14:paraId="6BBBFBC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0,360</w:t>
            </w:r>
          </w:p>
        </w:tc>
        <w:tc>
          <w:tcPr>
            <w:tcW w:w="708" w:type="dxa"/>
            <w:shd w:val="clear" w:color="auto" w:fill="D5DCE4" w:themeFill="text2" w:themeFillTint="33"/>
            <w:noWrap/>
            <w:vAlign w:val="center"/>
            <w:hideMark/>
          </w:tcPr>
          <w:p w14:paraId="25B6B7B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0,363</w:t>
            </w:r>
          </w:p>
        </w:tc>
        <w:tc>
          <w:tcPr>
            <w:tcW w:w="709" w:type="dxa"/>
            <w:shd w:val="clear" w:color="000000" w:fill="FFFFFF"/>
            <w:noWrap/>
            <w:vAlign w:val="center"/>
            <w:hideMark/>
          </w:tcPr>
          <w:p w14:paraId="6DB1D65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0,417</w:t>
            </w:r>
          </w:p>
        </w:tc>
        <w:tc>
          <w:tcPr>
            <w:tcW w:w="709" w:type="dxa"/>
            <w:shd w:val="clear" w:color="000000" w:fill="FFFFFF"/>
            <w:noWrap/>
            <w:vAlign w:val="center"/>
            <w:hideMark/>
          </w:tcPr>
          <w:p w14:paraId="5A78CE0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0,024</w:t>
            </w:r>
          </w:p>
        </w:tc>
        <w:tc>
          <w:tcPr>
            <w:tcW w:w="709" w:type="dxa"/>
            <w:shd w:val="clear" w:color="000000" w:fill="FFFFFF"/>
            <w:noWrap/>
            <w:vAlign w:val="center"/>
            <w:hideMark/>
          </w:tcPr>
          <w:p w14:paraId="6784B74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0,136</w:t>
            </w:r>
          </w:p>
        </w:tc>
        <w:tc>
          <w:tcPr>
            <w:tcW w:w="708" w:type="dxa"/>
            <w:shd w:val="clear" w:color="auto" w:fill="D5DCE4" w:themeFill="text2" w:themeFillTint="33"/>
            <w:noWrap/>
            <w:vAlign w:val="center"/>
            <w:hideMark/>
          </w:tcPr>
          <w:p w14:paraId="6978561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0,416</w:t>
            </w:r>
          </w:p>
        </w:tc>
        <w:tc>
          <w:tcPr>
            <w:tcW w:w="709" w:type="dxa"/>
            <w:shd w:val="clear" w:color="000000" w:fill="FFFFFF"/>
            <w:noWrap/>
            <w:vAlign w:val="center"/>
            <w:hideMark/>
          </w:tcPr>
          <w:p w14:paraId="488AAF4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-0,039</w:t>
            </w:r>
          </w:p>
        </w:tc>
        <w:tc>
          <w:tcPr>
            <w:tcW w:w="709" w:type="dxa"/>
            <w:shd w:val="clear" w:color="000000" w:fill="FFFFFF"/>
            <w:noWrap/>
            <w:vAlign w:val="center"/>
            <w:hideMark/>
          </w:tcPr>
          <w:p w14:paraId="0B722BB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0,436</w:t>
            </w:r>
          </w:p>
        </w:tc>
        <w:tc>
          <w:tcPr>
            <w:tcW w:w="709" w:type="dxa"/>
            <w:shd w:val="clear" w:color="000000" w:fill="FFFFFF"/>
            <w:noWrap/>
            <w:vAlign w:val="center"/>
            <w:hideMark/>
          </w:tcPr>
          <w:p w14:paraId="3604539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0,281</w:t>
            </w:r>
          </w:p>
        </w:tc>
        <w:tc>
          <w:tcPr>
            <w:tcW w:w="708" w:type="dxa"/>
            <w:shd w:val="clear" w:color="auto" w:fill="D5DCE4" w:themeFill="text2" w:themeFillTint="33"/>
            <w:noWrap/>
            <w:vAlign w:val="center"/>
            <w:hideMark/>
          </w:tcPr>
          <w:p w14:paraId="5F088E1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0,315</w:t>
            </w:r>
          </w:p>
        </w:tc>
        <w:tc>
          <w:tcPr>
            <w:tcW w:w="709" w:type="dxa"/>
            <w:shd w:val="clear" w:color="000000" w:fill="FFFFFF"/>
            <w:noWrap/>
            <w:vAlign w:val="center"/>
            <w:hideMark/>
          </w:tcPr>
          <w:p w14:paraId="6640035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0,429</w:t>
            </w:r>
          </w:p>
        </w:tc>
      </w:tr>
      <w:tr w:rsidR="00684768" w:rsidRPr="00063D2B" w14:paraId="1ACD4536" w14:textId="77777777" w:rsidTr="005E5068">
        <w:trPr>
          <w:trHeight w:val="264"/>
        </w:trPr>
        <w:tc>
          <w:tcPr>
            <w:tcW w:w="709" w:type="dxa"/>
            <w:vMerge/>
            <w:shd w:val="clear" w:color="000000" w:fill="FFFFFF"/>
            <w:noWrap/>
            <w:vAlign w:val="center"/>
            <w:hideMark/>
          </w:tcPr>
          <w:p w14:paraId="6ADCE3CD" w14:textId="77777777" w:rsidR="00684768" w:rsidRPr="00063D2B" w:rsidRDefault="00684768" w:rsidP="005E5068">
            <w:pPr>
              <w:spacing w:after="0" w:line="240" w:lineRule="auto"/>
              <w:rPr>
                <w:rFonts w:eastAsia="Times New Roman" w:cstheme="minorHAnsi"/>
                <w:sz w:val="20"/>
                <w:szCs w:val="20"/>
                <w:lang w:eastAsia="it-IT"/>
              </w:rPr>
            </w:pPr>
          </w:p>
        </w:tc>
        <w:tc>
          <w:tcPr>
            <w:tcW w:w="360" w:type="dxa"/>
            <w:shd w:val="clear" w:color="000000" w:fill="FFFFFF"/>
            <w:noWrap/>
            <w:vAlign w:val="bottom"/>
            <w:hideMark/>
          </w:tcPr>
          <w:p w14:paraId="371C3033"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718" w:type="dxa"/>
            <w:shd w:val="clear" w:color="000000" w:fill="FFFFFF"/>
            <w:noWrap/>
            <w:vAlign w:val="center"/>
            <w:hideMark/>
          </w:tcPr>
          <w:p w14:paraId="4F71F0C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-0,217</w:t>
            </w:r>
          </w:p>
        </w:tc>
        <w:tc>
          <w:tcPr>
            <w:tcW w:w="709" w:type="dxa"/>
            <w:shd w:val="clear" w:color="000000" w:fill="FFFFFF"/>
            <w:noWrap/>
            <w:vAlign w:val="center"/>
            <w:hideMark/>
          </w:tcPr>
          <w:p w14:paraId="612E59A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-0,157</w:t>
            </w:r>
          </w:p>
        </w:tc>
        <w:tc>
          <w:tcPr>
            <w:tcW w:w="708" w:type="dxa"/>
            <w:shd w:val="clear" w:color="auto" w:fill="D5DCE4" w:themeFill="text2" w:themeFillTint="33"/>
            <w:noWrap/>
            <w:vAlign w:val="center"/>
            <w:hideMark/>
          </w:tcPr>
          <w:p w14:paraId="4A33572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-0,230</w:t>
            </w:r>
          </w:p>
        </w:tc>
        <w:tc>
          <w:tcPr>
            <w:tcW w:w="709" w:type="dxa"/>
            <w:shd w:val="clear" w:color="000000" w:fill="FFFFFF"/>
            <w:noWrap/>
            <w:vAlign w:val="center"/>
            <w:hideMark/>
          </w:tcPr>
          <w:p w14:paraId="2EA459E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-0,279</w:t>
            </w:r>
          </w:p>
        </w:tc>
        <w:tc>
          <w:tcPr>
            <w:tcW w:w="709" w:type="dxa"/>
            <w:shd w:val="clear" w:color="000000" w:fill="FFFFFF"/>
            <w:noWrap/>
            <w:vAlign w:val="center"/>
            <w:hideMark/>
          </w:tcPr>
          <w:p w14:paraId="721AA73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0,076</w:t>
            </w:r>
          </w:p>
        </w:tc>
        <w:tc>
          <w:tcPr>
            <w:tcW w:w="709" w:type="dxa"/>
            <w:shd w:val="clear" w:color="000000" w:fill="FFFFFF"/>
            <w:noWrap/>
            <w:vAlign w:val="center"/>
            <w:hideMark/>
          </w:tcPr>
          <w:p w14:paraId="038F070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-0,063</w:t>
            </w:r>
          </w:p>
        </w:tc>
        <w:tc>
          <w:tcPr>
            <w:tcW w:w="708" w:type="dxa"/>
            <w:shd w:val="clear" w:color="auto" w:fill="D5DCE4" w:themeFill="text2" w:themeFillTint="33"/>
            <w:noWrap/>
            <w:vAlign w:val="center"/>
            <w:hideMark/>
          </w:tcPr>
          <w:p w14:paraId="210DB48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0,060</w:t>
            </w:r>
          </w:p>
        </w:tc>
        <w:tc>
          <w:tcPr>
            <w:tcW w:w="709" w:type="dxa"/>
            <w:shd w:val="clear" w:color="000000" w:fill="FFFFFF"/>
            <w:noWrap/>
            <w:vAlign w:val="center"/>
            <w:hideMark/>
          </w:tcPr>
          <w:p w14:paraId="25D31A6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0,091</w:t>
            </w:r>
          </w:p>
        </w:tc>
        <w:tc>
          <w:tcPr>
            <w:tcW w:w="709" w:type="dxa"/>
            <w:shd w:val="clear" w:color="000000" w:fill="FFFFFF"/>
            <w:noWrap/>
            <w:vAlign w:val="center"/>
            <w:hideMark/>
          </w:tcPr>
          <w:p w14:paraId="2EA88AD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-0,219</w:t>
            </w:r>
          </w:p>
        </w:tc>
        <w:tc>
          <w:tcPr>
            <w:tcW w:w="709" w:type="dxa"/>
            <w:shd w:val="clear" w:color="000000" w:fill="FFFFFF"/>
            <w:noWrap/>
            <w:vAlign w:val="center"/>
            <w:hideMark/>
          </w:tcPr>
          <w:p w14:paraId="12E3B83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-0,175</w:t>
            </w:r>
          </w:p>
        </w:tc>
        <w:tc>
          <w:tcPr>
            <w:tcW w:w="708" w:type="dxa"/>
            <w:shd w:val="clear" w:color="auto" w:fill="D5DCE4" w:themeFill="text2" w:themeFillTint="33"/>
            <w:noWrap/>
            <w:vAlign w:val="center"/>
            <w:hideMark/>
          </w:tcPr>
          <w:p w14:paraId="451E185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-0,212</w:t>
            </w:r>
          </w:p>
        </w:tc>
        <w:tc>
          <w:tcPr>
            <w:tcW w:w="709" w:type="dxa"/>
            <w:shd w:val="clear" w:color="000000" w:fill="FFFFFF"/>
            <w:noWrap/>
            <w:vAlign w:val="center"/>
            <w:hideMark/>
          </w:tcPr>
          <w:p w14:paraId="2E9810E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-0,263</w:t>
            </w:r>
          </w:p>
        </w:tc>
      </w:tr>
      <w:tr w:rsidR="00684768" w:rsidRPr="00063D2B" w14:paraId="643916E0" w14:textId="77777777" w:rsidTr="005E5068">
        <w:trPr>
          <w:trHeight w:val="264"/>
        </w:trPr>
        <w:tc>
          <w:tcPr>
            <w:tcW w:w="709" w:type="dxa"/>
            <w:vMerge w:val="restart"/>
            <w:shd w:val="clear" w:color="000000" w:fill="FFFFFF"/>
            <w:noWrap/>
            <w:vAlign w:val="center"/>
            <w:hideMark/>
          </w:tcPr>
          <w:p w14:paraId="4FE4F38B"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2023</w:t>
            </w:r>
          </w:p>
        </w:tc>
        <w:tc>
          <w:tcPr>
            <w:tcW w:w="360" w:type="dxa"/>
            <w:shd w:val="clear" w:color="000000" w:fill="FFFFFF"/>
            <w:noWrap/>
            <w:vAlign w:val="bottom"/>
            <w:hideMark/>
          </w:tcPr>
          <w:p w14:paraId="1D600DEA"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718" w:type="dxa"/>
            <w:shd w:val="clear" w:color="000000" w:fill="FFFFFF"/>
            <w:noWrap/>
            <w:vAlign w:val="center"/>
            <w:hideMark/>
          </w:tcPr>
          <w:p w14:paraId="09028B8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-0,336</w:t>
            </w:r>
          </w:p>
        </w:tc>
        <w:tc>
          <w:tcPr>
            <w:tcW w:w="709" w:type="dxa"/>
            <w:shd w:val="clear" w:color="000000" w:fill="FFFFFF"/>
            <w:noWrap/>
            <w:vAlign w:val="center"/>
            <w:hideMark/>
          </w:tcPr>
          <w:p w14:paraId="41AE578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-0,331</w:t>
            </w:r>
          </w:p>
        </w:tc>
        <w:tc>
          <w:tcPr>
            <w:tcW w:w="708" w:type="dxa"/>
            <w:shd w:val="clear" w:color="auto" w:fill="D5DCE4" w:themeFill="text2" w:themeFillTint="33"/>
            <w:noWrap/>
            <w:vAlign w:val="center"/>
            <w:hideMark/>
          </w:tcPr>
          <w:p w14:paraId="5860F8C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-0,343</w:t>
            </w:r>
          </w:p>
        </w:tc>
        <w:tc>
          <w:tcPr>
            <w:tcW w:w="709" w:type="dxa"/>
            <w:shd w:val="clear" w:color="000000" w:fill="FFFFFF"/>
            <w:noWrap/>
            <w:vAlign w:val="center"/>
            <w:hideMark/>
          </w:tcPr>
          <w:p w14:paraId="1B3524F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-0,050</w:t>
            </w:r>
          </w:p>
        </w:tc>
        <w:tc>
          <w:tcPr>
            <w:tcW w:w="709" w:type="dxa"/>
            <w:shd w:val="clear" w:color="000000" w:fill="FFFFFF"/>
            <w:noWrap/>
            <w:vAlign w:val="center"/>
            <w:hideMark/>
          </w:tcPr>
          <w:p w14:paraId="60D6F6E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-0,267</w:t>
            </w:r>
          </w:p>
        </w:tc>
        <w:tc>
          <w:tcPr>
            <w:tcW w:w="709" w:type="dxa"/>
            <w:shd w:val="clear" w:color="000000" w:fill="FFFFFF"/>
            <w:noWrap/>
            <w:vAlign w:val="center"/>
            <w:hideMark/>
          </w:tcPr>
          <w:p w14:paraId="31CC104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-0,472</w:t>
            </w:r>
          </w:p>
        </w:tc>
        <w:tc>
          <w:tcPr>
            <w:tcW w:w="708" w:type="dxa"/>
            <w:shd w:val="clear" w:color="auto" w:fill="D5DCE4" w:themeFill="text2" w:themeFillTint="33"/>
            <w:noWrap/>
            <w:vAlign w:val="center"/>
            <w:hideMark/>
          </w:tcPr>
          <w:p w14:paraId="7C9A663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-0,126</w:t>
            </w:r>
          </w:p>
        </w:tc>
        <w:tc>
          <w:tcPr>
            <w:tcW w:w="709" w:type="dxa"/>
            <w:shd w:val="clear" w:color="000000" w:fill="FFFFFF"/>
            <w:noWrap/>
            <w:vAlign w:val="center"/>
            <w:hideMark/>
          </w:tcPr>
          <w:p w14:paraId="4A510D3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0,043</w:t>
            </w:r>
          </w:p>
        </w:tc>
        <w:tc>
          <w:tcPr>
            <w:tcW w:w="709" w:type="dxa"/>
            <w:shd w:val="clear" w:color="000000" w:fill="FFFFFF"/>
            <w:noWrap/>
            <w:vAlign w:val="center"/>
            <w:hideMark/>
          </w:tcPr>
          <w:p w14:paraId="22742BA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-0,428</w:t>
            </w:r>
          </w:p>
        </w:tc>
        <w:tc>
          <w:tcPr>
            <w:tcW w:w="709" w:type="dxa"/>
            <w:shd w:val="clear" w:color="000000" w:fill="FFFFFF"/>
            <w:noWrap/>
            <w:vAlign w:val="center"/>
            <w:hideMark/>
          </w:tcPr>
          <w:p w14:paraId="5DBC76F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-0,399</w:t>
            </w:r>
          </w:p>
        </w:tc>
        <w:tc>
          <w:tcPr>
            <w:tcW w:w="708" w:type="dxa"/>
            <w:shd w:val="clear" w:color="auto" w:fill="D5DCE4" w:themeFill="text2" w:themeFillTint="33"/>
            <w:noWrap/>
            <w:vAlign w:val="center"/>
            <w:hideMark/>
          </w:tcPr>
          <w:p w14:paraId="222DE4B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-0,399</w:t>
            </w:r>
          </w:p>
        </w:tc>
        <w:tc>
          <w:tcPr>
            <w:tcW w:w="709" w:type="dxa"/>
            <w:shd w:val="clear" w:color="000000" w:fill="FFFFFF"/>
            <w:noWrap/>
            <w:vAlign w:val="center"/>
            <w:hideMark/>
          </w:tcPr>
          <w:p w14:paraId="55ACE0C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-0,221</w:t>
            </w:r>
          </w:p>
        </w:tc>
      </w:tr>
      <w:tr w:rsidR="00684768" w:rsidRPr="00063D2B" w14:paraId="0FD6A960" w14:textId="77777777" w:rsidTr="005E5068">
        <w:trPr>
          <w:trHeight w:val="276"/>
        </w:trPr>
        <w:tc>
          <w:tcPr>
            <w:tcW w:w="709" w:type="dxa"/>
            <w:vMerge/>
            <w:tcBorders>
              <w:bottom w:val="single" w:sz="4" w:space="0" w:color="auto"/>
            </w:tcBorders>
            <w:shd w:val="clear" w:color="000000" w:fill="FFFFFF"/>
            <w:noWrap/>
            <w:vAlign w:val="bottom"/>
            <w:hideMark/>
          </w:tcPr>
          <w:p w14:paraId="7D2F799F" w14:textId="77777777" w:rsidR="00684768" w:rsidRPr="00063D2B" w:rsidRDefault="00684768" w:rsidP="005E5068">
            <w:pPr>
              <w:spacing w:after="0" w:line="240" w:lineRule="auto"/>
              <w:rPr>
                <w:rFonts w:eastAsia="Times New Roman" w:cstheme="minorHAnsi"/>
                <w:sz w:val="20"/>
                <w:szCs w:val="20"/>
                <w:lang w:eastAsia="it-IT"/>
              </w:rPr>
            </w:pPr>
          </w:p>
        </w:tc>
        <w:tc>
          <w:tcPr>
            <w:tcW w:w="360" w:type="dxa"/>
            <w:tcBorders>
              <w:bottom w:val="single" w:sz="4" w:space="0" w:color="auto"/>
            </w:tcBorders>
            <w:shd w:val="clear" w:color="000000" w:fill="FFFFFF"/>
            <w:noWrap/>
            <w:vAlign w:val="bottom"/>
            <w:hideMark/>
          </w:tcPr>
          <w:p w14:paraId="2159B855"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718" w:type="dxa"/>
            <w:tcBorders>
              <w:bottom w:val="single" w:sz="4" w:space="0" w:color="auto"/>
            </w:tcBorders>
            <w:shd w:val="clear" w:color="000000" w:fill="FFFFFF"/>
            <w:noWrap/>
            <w:vAlign w:val="center"/>
            <w:hideMark/>
          </w:tcPr>
          <w:p w14:paraId="0A015A3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-0,289</w:t>
            </w:r>
          </w:p>
        </w:tc>
        <w:tc>
          <w:tcPr>
            <w:tcW w:w="709" w:type="dxa"/>
            <w:tcBorders>
              <w:bottom w:val="single" w:sz="4" w:space="0" w:color="auto"/>
            </w:tcBorders>
            <w:shd w:val="clear" w:color="000000" w:fill="FFFFFF"/>
            <w:noWrap/>
            <w:vAlign w:val="center"/>
            <w:hideMark/>
          </w:tcPr>
          <w:p w14:paraId="70EDBDF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-0,297</w:t>
            </w:r>
          </w:p>
        </w:tc>
        <w:tc>
          <w:tcPr>
            <w:tcW w:w="708" w:type="dxa"/>
            <w:tcBorders>
              <w:bottom w:val="single" w:sz="4" w:space="0" w:color="auto"/>
            </w:tcBorders>
            <w:shd w:val="clear" w:color="auto" w:fill="D5DCE4" w:themeFill="text2" w:themeFillTint="33"/>
            <w:noWrap/>
            <w:vAlign w:val="center"/>
            <w:hideMark/>
          </w:tcPr>
          <w:p w14:paraId="6B9CFD4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0,118</w:t>
            </w:r>
          </w:p>
        </w:tc>
        <w:tc>
          <w:tcPr>
            <w:tcW w:w="709" w:type="dxa"/>
            <w:tcBorders>
              <w:bottom w:val="single" w:sz="4" w:space="0" w:color="auto"/>
            </w:tcBorders>
            <w:shd w:val="clear" w:color="000000" w:fill="FFFFFF"/>
            <w:noWrap/>
            <w:vAlign w:val="center"/>
            <w:hideMark/>
          </w:tcPr>
          <w:p w14:paraId="00AE4DB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-0,286</w:t>
            </w:r>
          </w:p>
        </w:tc>
        <w:tc>
          <w:tcPr>
            <w:tcW w:w="709" w:type="dxa"/>
            <w:tcBorders>
              <w:bottom w:val="single" w:sz="4" w:space="0" w:color="auto"/>
            </w:tcBorders>
            <w:shd w:val="clear" w:color="000000" w:fill="FFFFFF"/>
            <w:noWrap/>
            <w:vAlign w:val="center"/>
            <w:hideMark/>
          </w:tcPr>
          <w:p w14:paraId="39E817C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-0,449</w:t>
            </w:r>
          </w:p>
        </w:tc>
        <w:tc>
          <w:tcPr>
            <w:tcW w:w="709" w:type="dxa"/>
            <w:tcBorders>
              <w:bottom w:val="single" w:sz="4" w:space="0" w:color="auto"/>
            </w:tcBorders>
            <w:shd w:val="clear" w:color="000000" w:fill="FFFFFF"/>
            <w:noWrap/>
            <w:vAlign w:val="center"/>
            <w:hideMark/>
          </w:tcPr>
          <w:p w14:paraId="17E442C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-0,261</w:t>
            </w:r>
          </w:p>
        </w:tc>
        <w:tc>
          <w:tcPr>
            <w:tcW w:w="708" w:type="dxa"/>
            <w:tcBorders>
              <w:bottom w:val="single" w:sz="4" w:space="0" w:color="auto"/>
            </w:tcBorders>
            <w:shd w:val="clear" w:color="auto" w:fill="D5DCE4" w:themeFill="text2" w:themeFillTint="33"/>
            <w:noWrap/>
            <w:vAlign w:val="center"/>
            <w:hideMark/>
          </w:tcPr>
          <w:p w14:paraId="2AE1737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0,157</w:t>
            </w:r>
          </w:p>
        </w:tc>
        <w:tc>
          <w:tcPr>
            <w:tcW w:w="709" w:type="dxa"/>
            <w:tcBorders>
              <w:bottom w:val="single" w:sz="4" w:space="0" w:color="auto"/>
            </w:tcBorders>
            <w:shd w:val="clear" w:color="000000" w:fill="FFFFFF"/>
            <w:noWrap/>
            <w:vAlign w:val="center"/>
            <w:hideMark/>
          </w:tcPr>
          <w:p w14:paraId="2616E95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-0,408</w:t>
            </w:r>
          </w:p>
        </w:tc>
        <w:tc>
          <w:tcPr>
            <w:tcW w:w="709" w:type="dxa"/>
            <w:tcBorders>
              <w:bottom w:val="single" w:sz="4" w:space="0" w:color="auto"/>
            </w:tcBorders>
            <w:shd w:val="clear" w:color="000000" w:fill="FFFFFF"/>
            <w:noWrap/>
            <w:vAlign w:val="center"/>
            <w:hideMark/>
          </w:tcPr>
          <w:p w14:paraId="5803151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-0,255</w:t>
            </w:r>
          </w:p>
        </w:tc>
        <w:tc>
          <w:tcPr>
            <w:tcW w:w="709" w:type="dxa"/>
            <w:tcBorders>
              <w:bottom w:val="single" w:sz="4" w:space="0" w:color="auto"/>
            </w:tcBorders>
            <w:shd w:val="clear" w:color="000000" w:fill="FFFFFF"/>
            <w:noWrap/>
            <w:vAlign w:val="center"/>
            <w:hideMark/>
          </w:tcPr>
          <w:p w14:paraId="094CBC5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-0,389</w:t>
            </w:r>
          </w:p>
        </w:tc>
        <w:tc>
          <w:tcPr>
            <w:tcW w:w="708" w:type="dxa"/>
            <w:tcBorders>
              <w:bottom w:val="single" w:sz="4" w:space="0" w:color="auto"/>
            </w:tcBorders>
            <w:shd w:val="clear" w:color="auto" w:fill="D5DCE4" w:themeFill="text2" w:themeFillTint="33"/>
            <w:noWrap/>
            <w:vAlign w:val="center"/>
            <w:hideMark/>
          </w:tcPr>
          <w:p w14:paraId="5FE23D2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0,170</w:t>
            </w:r>
          </w:p>
        </w:tc>
        <w:tc>
          <w:tcPr>
            <w:tcW w:w="709" w:type="dxa"/>
            <w:tcBorders>
              <w:bottom w:val="single" w:sz="4" w:space="0" w:color="auto"/>
            </w:tcBorders>
            <w:shd w:val="clear" w:color="000000" w:fill="FFFFFF"/>
            <w:noWrap/>
            <w:vAlign w:val="center"/>
            <w:hideMark/>
          </w:tcPr>
          <w:p w14:paraId="0551026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-0,287</w:t>
            </w:r>
          </w:p>
        </w:tc>
      </w:tr>
    </w:tbl>
    <w:p w14:paraId="392C8DEF" w14:textId="33A7BFCE" w:rsidR="00684768" w:rsidRPr="00CB2B1F" w:rsidRDefault="00684768" w:rsidP="00684768">
      <w:pPr>
        <w:spacing w:after="0" w:line="276" w:lineRule="auto"/>
        <w:jc w:val="both"/>
        <w:rPr>
          <w:rFonts w:eastAsia="Aptos" w:cstheme="minorHAnsi"/>
          <w:i/>
          <w:iCs/>
          <w:kern w:val="2"/>
          <w:sz w:val="18"/>
          <w:szCs w:val="18"/>
          <w:lang w:val="en-GB"/>
          <w14:ligatures w14:val="standardContextual"/>
        </w:rPr>
      </w:pPr>
      <w:r w:rsidRPr="00CB2B1F">
        <w:rPr>
          <w:rFonts w:eastAsia="Aptos" w:cstheme="minorHAnsi"/>
          <w:i/>
          <w:iCs/>
          <w:kern w:val="2"/>
          <w:sz w:val="18"/>
          <w:szCs w:val="18"/>
          <w:lang w:val="en-GB"/>
          <w14:ligatures w14:val="standardContextual"/>
        </w:rPr>
        <w:t>Fonte: Regional Bank Lending Survey</w:t>
      </w:r>
    </w:p>
    <w:p w14:paraId="7D4DDD4A" w14:textId="77777777" w:rsidR="00684768" w:rsidRPr="00063D2B" w:rsidRDefault="00684768" w:rsidP="00684768">
      <w:pPr>
        <w:spacing w:after="120" w:line="276" w:lineRule="auto"/>
        <w:jc w:val="both"/>
        <w:rPr>
          <w:rFonts w:eastAsia="Aptos" w:cstheme="minorHAnsi"/>
          <w:kern w:val="2"/>
          <w:sz w:val="16"/>
          <w:szCs w:val="16"/>
          <w14:ligatures w14:val="standardContextual"/>
        </w:rPr>
      </w:pPr>
      <w:r w:rsidRPr="00063D2B">
        <w:rPr>
          <w:rFonts w:eastAsia="Aptos" w:cstheme="minorHAnsi"/>
          <w:kern w:val="2"/>
          <w:sz w:val="16"/>
          <w:szCs w:val="16"/>
          <w14:ligatures w14:val="standardContextual"/>
        </w:rPr>
        <w:t xml:space="preserve">(1) Valori positivi dell’indice segnalano una crescita della domanda; valori negativi una flessione. L’indice di diffusione è costruito aggregando le risposte qualitative fornite dalle banche partecipanti all’indagine sulla base dei prestiti erogati alle imprese residenti nelle diverse aree geografiche e ha un campo di variazione </w:t>
      </w:r>
      <w:proofErr w:type="gramStart"/>
      <w:r w:rsidRPr="00063D2B">
        <w:rPr>
          <w:rFonts w:eastAsia="Aptos" w:cstheme="minorHAnsi"/>
          <w:kern w:val="2"/>
          <w:sz w:val="16"/>
          <w:szCs w:val="16"/>
          <w14:ligatures w14:val="standardContextual"/>
        </w:rPr>
        <w:t>compreso  tra</w:t>
      </w:r>
      <w:proofErr w:type="gramEnd"/>
      <w:r w:rsidRPr="00063D2B">
        <w:rPr>
          <w:rFonts w:eastAsia="Aptos" w:cstheme="minorHAnsi"/>
          <w:kern w:val="2"/>
          <w:sz w:val="16"/>
          <w:szCs w:val="16"/>
          <w14:ligatures w14:val="standardContextual"/>
        </w:rPr>
        <w:t xml:space="preserve"> -1 e 1.</w:t>
      </w:r>
    </w:p>
    <w:p w14:paraId="2F2F6D6C"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L'inasprimento delle condizioni creditizie non si limita all'aumento dei tassi. Secondo i dati, dell’ultima rilevazione di Banca d'Italia</w:t>
      </w:r>
      <w:r w:rsidRPr="00063D2B">
        <w:rPr>
          <w:rStyle w:val="Rimandonotaapidipagina"/>
          <w:rFonts w:eastAsia="Aptos" w:cstheme="minorHAnsi"/>
          <w:kern w:val="2"/>
          <w14:ligatures w14:val="standardContextual"/>
        </w:rPr>
        <w:footnoteReference w:id="1"/>
      </w:r>
      <w:r w:rsidRPr="00063D2B">
        <w:rPr>
          <w:rFonts w:eastAsia="Aptos" w:cstheme="minorHAnsi"/>
          <w:kern w:val="2"/>
          <w14:ligatures w14:val="standardContextual"/>
        </w:rPr>
        <w:t xml:space="preserve">, il </w:t>
      </w:r>
      <w:r w:rsidRPr="00063D2B">
        <w:rPr>
          <w:rFonts w:eastAsia="Aptos" w:cstheme="minorHAnsi"/>
          <w:i/>
          <w:iCs/>
          <w:kern w:val="2"/>
          <w14:ligatures w14:val="standardContextual"/>
        </w:rPr>
        <w:t>tasso di non-performing loans</w:t>
      </w:r>
      <w:r w:rsidRPr="00063D2B">
        <w:rPr>
          <w:rFonts w:eastAsia="Aptos" w:cstheme="minorHAnsi"/>
          <w:kern w:val="2"/>
          <w14:ligatures w14:val="standardContextual"/>
        </w:rPr>
        <w:t xml:space="preserve"> (NPL) tra le PMI è rimasto elevato rispetto alle grandi imprese, rafforzando la prudenza degli istituti bancari verso le aziende di dimensioni ridotte. Questo elemento ha ulteriormente penalizzato le PMI, già in difficoltà nell’accedere a finanziamenti competitivi, e ha contribuito a consolidare una maggiore selettività all’interno del mercato del credito.</w:t>
      </w:r>
    </w:p>
    <w:p w14:paraId="4985A6B8"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Le implicazioni di questa restrizione del credito sono rilevanti non solo per le singole imprese ma anche per l'economia nazionale nel suo complesso. Le PMI, che rappresentano una componente vitale del tessuto produttivo italiano, hanno visto ridursi le loro capacità di finanziare operazioni quotidiane, investimenti in capitale fisso e progetti di espansione. Inoltre, la crescente difficoltà nel sostenere nuovi investimenti ha posto un freno all'innovazione e alla competitività delle PMI con possibili ricadute negative a lungo termine sul tasso di crescita del PIL e sull’occupazione.</w:t>
      </w:r>
    </w:p>
    <w:tbl>
      <w:tblPr>
        <w:tblW w:w="9425"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567"/>
        <w:gridCol w:w="284"/>
        <w:gridCol w:w="709"/>
        <w:gridCol w:w="708"/>
        <w:gridCol w:w="709"/>
        <w:gridCol w:w="709"/>
        <w:gridCol w:w="771"/>
        <w:gridCol w:w="709"/>
        <w:gridCol w:w="709"/>
        <w:gridCol w:w="709"/>
        <w:gridCol w:w="708"/>
        <w:gridCol w:w="709"/>
        <w:gridCol w:w="709"/>
        <w:gridCol w:w="709"/>
        <w:gridCol w:w="6"/>
      </w:tblGrid>
      <w:tr w:rsidR="00684768" w:rsidRPr="00063D2B" w14:paraId="38A37A04" w14:textId="77777777" w:rsidTr="005E5068">
        <w:trPr>
          <w:trHeight w:val="63"/>
          <w:tblHeader/>
          <w:jc w:val="center"/>
        </w:trPr>
        <w:tc>
          <w:tcPr>
            <w:tcW w:w="9425" w:type="dxa"/>
            <w:gridSpan w:val="15"/>
            <w:tcBorders>
              <w:bottom w:val="nil"/>
            </w:tcBorders>
            <w:shd w:val="clear" w:color="auto" w:fill="2F5496" w:themeFill="accent1" w:themeFillShade="BF"/>
            <w:noWrap/>
            <w:vAlign w:val="bottom"/>
            <w:hideMark/>
          </w:tcPr>
          <w:p w14:paraId="2759BC8F" w14:textId="77777777" w:rsidR="00684768" w:rsidRPr="00063D2B" w:rsidRDefault="00684768" w:rsidP="005E5068">
            <w:pPr>
              <w:spacing w:after="0" w:line="240" w:lineRule="auto"/>
              <w:jc w:val="center"/>
              <w:rPr>
                <w:rFonts w:eastAsia="Times New Roman" w:cstheme="minorHAnsi"/>
                <w:b/>
                <w:bCs/>
                <w:color w:val="FFFFFF" w:themeColor="background1"/>
                <w:sz w:val="20"/>
                <w:szCs w:val="20"/>
                <w:lang w:eastAsia="it-IT"/>
              </w:rPr>
            </w:pPr>
            <w:r w:rsidRPr="00063D2B">
              <w:rPr>
                <w:rFonts w:eastAsia="Times New Roman" w:cstheme="minorHAnsi"/>
                <w:b/>
                <w:bCs/>
                <w:color w:val="FFFFFF" w:themeColor="background1"/>
                <w:sz w:val="20"/>
                <w:szCs w:val="20"/>
                <w:lang w:eastAsia="it-IT"/>
              </w:rPr>
              <w:t>Tab.2 - La domanda di credito delle imprese - determinanti della domanda</w:t>
            </w:r>
            <w:r w:rsidRPr="00063D2B">
              <w:rPr>
                <w:rFonts w:eastAsia="Times New Roman" w:cstheme="minorHAnsi"/>
                <w:color w:val="FFFFFF" w:themeColor="background1"/>
                <w:sz w:val="20"/>
                <w:szCs w:val="20"/>
                <w:lang w:eastAsia="it-IT"/>
              </w:rPr>
              <w:t xml:space="preserve"> (1)</w:t>
            </w:r>
          </w:p>
        </w:tc>
      </w:tr>
      <w:tr w:rsidR="00684768" w:rsidRPr="00063D2B" w14:paraId="19776E17" w14:textId="77777777" w:rsidTr="005E5068">
        <w:trPr>
          <w:trHeight w:val="73"/>
          <w:tblHeader/>
          <w:jc w:val="center"/>
        </w:trPr>
        <w:tc>
          <w:tcPr>
            <w:tcW w:w="9425" w:type="dxa"/>
            <w:gridSpan w:val="15"/>
            <w:tcBorders>
              <w:top w:val="nil"/>
              <w:bottom w:val="single" w:sz="4" w:space="0" w:color="auto"/>
            </w:tcBorders>
            <w:shd w:val="clear" w:color="auto" w:fill="2F5496" w:themeFill="accent1" w:themeFillShade="BF"/>
            <w:noWrap/>
            <w:hideMark/>
          </w:tcPr>
          <w:p w14:paraId="728CAA8A" w14:textId="77777777" w:rsidR="00684768" w:rsidRPr="00063D2B" w:rsidRDefault="00684768" w:rsidP="005E5068">
            <w:pPr>
              <w:spacing w:after="0" w:line="240" w:lineRule="auto"/>
              <w:jc w:val="center"/>
              <w:rPr>
                <w:rFonts w:eastAsia="Times New Roman" w:cstheme="minorHAnsi"/>
                <w:i/>
                <w:iCs/>
                <w:color w:val="FFFFFF" w:themeColor="background1"/>
                <w:sz w:val="18"/>
                <w:szCs w:val="18"/>
                <w:lang w:eastAsia="it-IT"/>
              </w:rPr>
            </w:pPr>
            <w:r w:rsidRPr="00063D2B">
              <w:rPr>
                <w:rFonts w:eastAsia="Times New Roman" w:cstheme="minorHAnsi"/>
                <w:i/>
                <w:iCs/>
                <w:color w:val="FFFFFF" w:themeColor="background1"/>
                <w:sz w:val="18"/>
                <w:szCs w:val="18"/>
                <w:lang w:eastAsia="it-IT"/>
              </w:rPr>
              <w:t>(indici di diffusione; contributo all’espansione (+) / alla contrazione (–) della domanda di credito)</w:t>
            </w:r>
          </w:p>
        </w:tc>
      </w:tr>
      <w:tr w:rsidR="00684768" w:rsidRPr="00063D2B" w14:paraId="74689EFD" w14:textId="77777777" w:rsidTr="005E5068">
        <w:trPr>
          <w:gridAfter w:val="1"/>
          <w:wAfter w:w="6" w:type="dxa"/>
          <w:trHeight w:val="87"/>
          <w:tblHeader/>
          <w:jc w:val="center"/>
        </w:trPr>
        <w:tc>
          <w:tcPr>
            <w:tcW w:w="567" w:type="dxa"/>
            <w:tcBorders>
              <w:top w:val="nil"/>
              <w:bottom w:val="single" w:sz="4" w:space="0" w:color="auto"/>
            </w:tcBorders>
            <w:shd w:val="clear" w:color="000000" w:fill="FFFFFF"/>
            <w:noWrap/>
            <w:vAlign w:val="bottom"/>
          </w:tcPr>
          <w:p w14:paraId="15C728DF"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284" w:type="dxa"/>
            <w:tcBorders>
              <w:top w:val="nil"/>
              <w:bottom w:val="single" w:sz="4" w:space="0" w:color="auto"/>
            </w:tcBorders>
            <w:shd w:val="clear" w:color="000000" w:fill="FFFFFF"/>
            <w:noWrap/>
            <w:vAlign w:val="bottom"/>
          </w:tcPr>
          <w:p w14:paraId="1477B58D"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2835" w:type="dxa"/>
            <w:gridSpan w:val="4"/>
            <w:tcBorders>
              <w:top w:val="nil"/>
              <w:bottom w:val="single" w:sz="4" w:space="0" w:color="auto"/>
            </w:tcBorders>
            <w:shd w:val="clear" w:color="000000" w:fill="FFFFFF"/>
            <w:vAlign w:val="center"/>
            <w:hideMark/>
          </w:tcPr>
          <w:p w14:paraId="4F7CA116" w14:textId="77777777" w:rsidR="00684768" w:rsidRPr="00063D2B" w:rsidRDefault="00684768" w:rsidP="005E5068">
            <w:pPr>
              <w:spacing w:after="0" w:line="240" w:lineRule="auto"/>
              <w:jc w:val="center"/>
              <w:rPr>
                <w:rFonts w:eastAsia="Times New Roman" w:cstheme="minorHAnsi"/>
                <w:b/>
                <w:bCs/>
                <w:sz w:val="20"/>
                <w:szCs w:val="20"/>
                <w:lang w:eastAsia="it-IT"/>
              </w:rPr>
            </w:pPr>
            <w:r w:rsidRPr="00063D2B">
              <w:rPr>
                <w:rFonts w:eastAsia="Times New Roman" w:cstheme="minorHAnsi"/>
                <w:b/>
                <w:bCs/>
                <w:sz w:val="20"/>
                <w:szCs w:val="20"/>
                <w:lang w:eastAsia="it-IT"/>
              </w:rPr>
              <w:t>Spesa per investimenti</w:t>
            </w:r>
          </w:p>
        </w:tc>
        <w:tc>
          <w:tcPr>
            <w:tcW w:w="2898" w:type="dxa"/>
            <w:gridSpan w:val="4"/>
            <w:tcBorders>
              <w:top w:val="nil"/>
              <w:bottom w:val="single" w:sz="4" w:space="0" w:color="auto"/>
            </w:tcBorders>
            <w:shd w:val="clear" w:color="000000" w:fill="FFFFFF"/>
            <w:vAlign w:val="center"/>
            <w:hideMark/>
          </w:tcPr>
          <w:p w14:paraId="7B3CB20A" w14:textId="77777777" w:rsidR="00684768" w:rsidRPr="00063D2B" w:rsidRDefault="00684768" w:rsidP="005E5068">
            <w:pPr>
              <w:spacing w:after="0" w:line="240" w:lineRule="auto"/>
              <w:jc w:val="center"/>
              <w:rPr>
                <w:rFonts w:eastAsia="Times New Roman" w:cstheme="minorHAnsi"/>
                <w:b/>
                <w:bCs/>
                <w:sz w:val="20"/>
                <w:szCs w:val="20"/>
                <w:lang w:eastAsia="it-IT"/>
              </w:rPr>
            </w:pPr>
            <w:r w:rsidRPr="00063D2B">
              <w:rPr>
                <w:rFonts w:eastAsia="Times New Roman" w:cstheme="minorHAnsi"/>
                <w:b/>
                <w:bCs/>
                <w:sz w:val="20"/>
                <w:szCs w:val="20"/>
                <w:lang w:eastAsia="it-IT"/>
              </w:rPr>
              <w:t>Fabbisogno di capitale circolante</w:t>
            </w:r>
          </w:p>
        </w:tc>
        <w:tc>
          <w:tcPr>
            <w:tcW w:w="2835" w:type="dxa"/>
            <w:gridSpan w:val="4"/>
            <w:tcBorders>
              <w:top w:val="nil"/>
              <w:bottom w:val="single" w:sz="4" w:space="0" w:color="auto"/>
            </w:tcBorders>
            <w:shd w:val="clear" w:color="000000" w:fill="FFFFFF"/>
            <w:vAlign w:val="center"/>
            <w:hideMark/>
          </w:tcPr>
          <w:p w14:paraId="62871CCC" w14:textId="77777777" w:rsidR="00684768" w:rsidRPr="00063D2B" w:rsidRDefault="00684768" w:rsidP="005E5068">
            <w:pPr>
              <w:spacing w:after="0" w:line="240" w:lineRule="auto"/>
              <w:jc w:val="center"/>
              <w:rPr>
                <w:rFonts w:eastAsia="Times New Roman" w:cstheme="minorHAnsi"/>
                <w:b/>
                <w:bCs/>
                <w:sz w:val="20"/>
                <w:szCs w:val="20"/>
                <w:lang w:eastAsia="it-IT"/>
              </w:rPr>
            </w:pPr>
            <w:r w:rsidRPr="00063D2B">
              <w:rPr>
                <w:rFonts w:eastAsia="Times New Roman" w:cstheme="minorHAnsi"/>
                <w:b/>
                <w:bCs/>
                <w:sz w:val="20"/>
                <w:szCs w:val="20"/>
                <w:lang w:eastAsia="it-IT"/>
              </w:rPr>
              <w:t>Ristrutturazione del debito</w:t>
            </w:r>
          </w:p>
        </w:tc>
      </w:tr>
      <w:tr w:rsidR="00684768" w:rsidRPr="00063D2B" w14:paraId="74E71E47" w14:textId="77777777" w:rsidTr="005E5068">
        <w:trPr>
          <w:gridAfter w:val="1"/>
          <w:wAfter w:w="6" w:type="dxa"/>
          <w:trHeight w:val="118"/>
          <w:tblHeader/>
          <w:jc w:val="center"/>
        </w:trPr>
        <w:tc>
          <w:tcPr>
            <w:tcW w:w="567" w:type="dxa"/>
            <w:tcBorders>
              <w:top w:val="single" w:sz="4" w:space="0" w:color="auto"/>
              <w:bottom w:val="single" w:sz="4" w:space="0" w:color="auto"/>
            </w:tcBorders>
            <w:shd w:val="clear" w:color="000000" w:fill="FFFFFF"/>
            <w:noWrap/>
            <w:vAlign w:val="bottom"/>
          </w:tcPr>
          <w:p w14:paraId="6CA84ACA"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284" w:type="dxa"/>
            <w:tcBorders>
              <w:top w:val="single" w:sz="4" w:space="0" w:color="auto"/>
              <w:bottom w:val="single" w:sz="4" w:space="0" w:color="auto"/>
            </w:tcBorders>
            <w:shd w:val="clear" w:color="000000" w:fill="FFFFFF"/>
            <w:noWrap/>
            <w:vAlign w:val="bottom"/>
          </w:tcPr>
          <w:p w14:paraId="0F4A2364"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709" w:type="dxa"/>
            <w:tcBorders>
              <w:top w:val="single" w:sz="4" w:space="0" w:color="auto"/>
              <w:bottom w:val="single" w:sz="4" w:space="0" w:color="auto"/>
            </w:tcBorders>
            <w:shd w:val="clear" w:color="000000" w:fill="FFFFFF"/>
            <w:vAlign w:val="center"/>
            <w:hideMark/>
          </w:tcPr>
          <w:p w14:paraId="2A3C7E7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Ovest</w:t>
            </w:r>
          </w:p>
        </w:tc>
        <w:tc>
          <w:tcPr>
            <w:tcW w:w="708" w:type="dxa"/>
            <w:tcBorders>
              <w:top w:val="single" w:sz="4" w:space="0" w:color="auto"/>
              <w:bottom w:val="single" w:sz="4" w:space="0" w:color="auto"/>
            </w:tcBorders>
            <w:shd w:val="clear" w:color="000000" w:fill="FFFFFF"/>
            <w:vAlign w:val="center"/>
            <w:hideMark/>
          </w:tcPr>
          <w:p w14:paraId="6DCD15A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Est</w:t>
            </w:r>
          </w:p>
        </w:tc>
        <w:tc>
          <w:tcPr>
            <w:tcW w:w="709" w:type="dxa"/>
            <w:tcBorders>
              <w:top w:val="single" w:sz="4" w:space="0" w:color="auto"/>
              <w:bottom w:val="single" w:sz="4" w:space="0" w:color="auto"/>
            </w:tcBorders>
            <w:shd w:val="clear" w:color="auto" w:fill="D5DCE4" w:themeFill="text2" w:themeFillTint="33"/>
            <w:vAlign w:val="center"/>
            <w:hideMark/>
          </w:tcPr>
          <w:p w14:paraId="6FC4101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Centro</w:t>
            </w:r>
          </w:p>
        </w:tc>
        <w:tc>
          <w:tcPr>
            <w:tcW w:w="709" w:type="dxa"/>
            <w:tcBorders>
              <w:top w:val="single" w:sz="4" w:space="0" w:color="auto"/>
              <w:bottom w:val="single" w:sz="4" w:space="0" w:color="auto"/>
            </w:tcBorders>
            <w:shd w:val="clear" w:color="000000" w:fill="FFFFFF"/>
            <w:vAlign w:val="center"/>
            <w:hideMark/>
          </w:tcPr>
          <w:p w14:paraId="4FA92DC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Sud-Isole</w:t>
            </w:r>
          </w:p>
        </w:tc>
        <w:tc>
          <w:tcPr>
            <w:tcW w:w="771" w:type="dxa"/>
            <w:tcBorders>
              <w:top w:val="single" w:sz="4" w:space="0" w:color="auto"/>
              <w:bottom w:val="single" w:sz="4" w:space="0" w:color="auto"/>
            </w:tcBorders>
            <w:shd w:val="clear" w:color="000000" w:fill="FFFFFF"/>
            <w:vAlign w:val="center"/>
            <w:hideMark/>
          </w:tcPr>
          <w:p w14:paraId="284DD76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Ovest</w:t>
            </w:r>
          </w:p>
        </w:tc>
        <w:tc>
          <w:tcPr>
            <w:tcW w:w="709" w:type="dxa"/>
            <w:tcBorders>
              <w:top w:val="single" w:sz="4" w:space="0" w:color="auto"/>
              <w:bottom w:val="single" w:sz="4" w:space="0" w:color="auto"/>
            </w:tcBorders>
            <w:shd w:val="clear" w:color="000000" w:fill="FFFFFF"/>
            <w:vAlign w:val="center"/>
            <w:hideMark/>
          </w:tcPr>
          <w:p w14:paraId="4D4E49E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Est</w:t>
            </w:r>
          </w:p>
        </w:tc>
        <w:tc>
          <w:tcPr>
            <w:tcW w:w="709" w:type="dxa"/>
            <w:tcBorders>
              <w:top w:val="single" w:sz="4" w:space="0" w:color="auto"/>
              <w:bottom w:val="single" w:sz="4" w:space="0" w:color="auto"/>
            </w:tcBorders>
            <w:shd w:val="clear" w:color="auto" w:fill="D5DCE4" w:themeFill="text2" w:themeFillTint="33"/>
            <w:vAlign w:val="center"/>
            <w:hideMark/>
          </w:tcPr>
          <w:p w14:paraId="4F765D4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Centro</w:t>
            </w:r>
          </w:p>
        </w:tc>
        <w:tc>
          <w:tcPr>
            <w:tcW w:w="709" w:type="dxa"/>
            <w:tcBorders>
              <w:top w:val="single" w:sz="4" w:space="0" w:color="auto"/>
              <w:bottom w:val="single" w:sz="4" w:space="0" w:color="auto"/>
            </w:tcBorders>
            <w:shd w:val="clear" w:color="000000" w:fill="FFFFFF"/>
            <w:vAlign w:val="center"/>
            <w:hideMark/>
          </w:tcPr>
          <w:p w14:paraId="0AE4C99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Sud-Isole</w:t>
            </w:r>
          </w:p>
        </w:tc>
        <w:tc>
          <w:tcPr>
            <w:tcW w:w="708" w:type="dxa"/>
            <w:tcBorders>
              <w:top w:val="single" w:sz="4" w:space="0" w:color="auto"/>
              <w:bottom w:val="single" w:sz="4" w:space="0" w:color="auto"/>
            </w:tcBorders>
            <w:shd w:val="clear" w:color="000000" w:fill="FFFFFF"/>
            <w:vAlign w:val="center"/>
            <w:hideMark/>
          </w:tcPr>
          <w:p w14:paraId="0615FE5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Ovest</w:t>
            </w:r>
          </w:p>
        </w:tc>
        <w:tc>
          <w:tcPr>
            <w:tcW w:w="709" w:type="dxa"/>
            <w:tcBorders>
              <w:top w:val="single" w:sz="4" w:space="0" w:color="auto"/>
              <w:bottom w:val="single" w:sz="4" w:space="0" w:color="auto"/>
            </w:tcBorders>
            <w:shd w:val="clear" w:color="000000" w:fill="FFFFFF"/>
            <w:vAlign w:val="center"/>
            <w:hideMark/>
          </w:tcPr>
          <w:p w14:paraId="14CC408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Est</w:t>
            </w:r>
          </w:p>
        </w:tc>
        <w:tc>
          <w:tcPr>
            <w:tcW w:w="709" w:type="dxa"/>
            <w:tcBorders>
              <w:top w:val="single" w:sz="4" w:space="0" w:color="auto"/>
              <w:bottom w:val="single" w:sz="4" w:space="0" w:color="auto"/>
            </w:tcBorders>
            <w:shd w:val="clear" w:color="auto" w:fill="D5DCE4" w:themeFill="text2" w:themeFillTint="33"/>
            <w:vAlign w:val="center"/>
            <w:hideMark/>
          </w:tcPr>
          <w:p w14:paraId="7AD54A5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Centro</w:t>
            </w:r>
          </w:p>
        </w:tc>
        <w:tc>
          <w:tcPr>
            <w:tcW w:w="709" w:type="dxa"/>
            <w:tcBorders>
              <w:top w:val="single" w:sz="4" w:space="0" w:color="auto"/>
              <w:bottom w:val="single" w:sz="4" w:space="0" w:color="auto"/>
            </w:tcBorders>
            <w:shd w:val="clear" w:color="000000" w:fill="FFFFFF"/>
            <w:vAlign w:val="center"/>
            <w:hideMark/>
          </w:tcPr>
          <w:p w14:paraId="63920C1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Sud-Isole</w:t>
            </w:r>
          </w:p>
        </w:tc>
      </w:tr>
      <w:tr w:rsidR="00684768" w:rsidRPr="00063D2B" w14:paraId="4C71F562" w14:textId="77777777" w:rsidTr="005E5068">
        <w:trPr>
          <w:gridAfter w:val="1"/>
          <w:wAfter w:w="6" w:type="dxa"/>
          <w:trHeight w:val="300"/>
          <w:jc w:val="center"/>
        </w:trPr>
        <w:tc>
          <w:tcPr>
            <w:tcW w:w="567" w:type="dxa"/>
            <w:vMerge w:val="restart"/>
            <w:tcBorders>
              <w:top w:val="single" w:sz="4" w:space="0" w:color="auto"/>
            </w:tcBorders>
            <w:shd w:val="clear" w:color="000000" w:fill="FFFFFF"/>
            <w:noWrap/>
            <w:vAlign w:val="center"/>
            <w:hideMark/>
          </w:tcPr>
          <w:p w14:paraId="61818C04"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2020</w:t>
            </w:r>
          </w:p>
        </w:tc>
        <w:tc>
          <w:tcPr>
            <w:tcW w:w="284" w:type="dxa"/>
            <w:tcBorders>
              <w:top w:val="single" w:sz="4" w:space="0" w:color="auto"/>
            </w:tcBorders>
            <w:shd w:val="clear" w:color="000000" w:fill="FFFFFF"/>
            <w:noWrap/>
            <w:vAlign w:val="bottom"/>
            <w:hideMark/>
          </w:tcPr>
          <w:p w14:paraId="41E569F8"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709" w:type="dxa"/>
            <w:tcBorders>
              <w:top w:val="single" w:sz="4" w:space="0" w:color="auto"/>
            </w:tcBorders>
            <w:shd w:val="clear" w:color="000000" w:fill="FFFFFF"/>
            <w:noWrap/>
            <w:vAlign w:val="center"/>
            <w:hideMark/>
          </w:tcPr>
          <w:p w14:paraId="191F13E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0,104</w:t>
            </w:r>
          </w:p>
        </w:tc>
        <w:tc>
          <w:tcPr>
            <w:tcW w:w="708" w:type="dxa"/>
            <w:tcBorders>
              <w:top w:val="single" w:sz="4" w:space="0" w:color="auto"/>
            </w:tcBorders>
            <w:shd w:val="clear" w:color="000000" w:fill="FFFFFF"/>
            <w:noWrap/>
            <w:vAlign w:val="center"/>
            <w:hideMark/>
          </w:tcPr>
          <w:p w14:paraId="584A6ED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0,032</w:t>
            </w:r>
          </w:p>
        </w:tc>
        <w:tc>
          <w:tcPr>
            <w:tcW w:w="709" w:type="dxa"/>
            <w:tcBorders>
              <w:top w:val="single" w:sz="4" w:space="0" w:color="auto"/>
            </w:tcBorders>
            <w:shd w:val="clear" w:color="auto" w:fill="D5DCE4" w:themeFill="text2" w:themeFillTint="33"/>
            <w:noWrap/>
            <w:vAlign w:val="center"/>
            <w:hideMark/>
          </w:tcPr>
          <w:p w14:paraId="3A8AE84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0,010</w:t>
            </w:r>
          </w:p>
        </w:tc>
        <w:tc>
          <w:tcPr>
            <w:tcW w:w="709" w:type="dxa"/>
            <w:tcBorders>
              <w:top w:val="single" w:sz="4" w:space="0" w:color="auto"/>
            </w:tcBorders>
            <w:shd w:val="clear" w:color="000000" w:fill="FFFFFF"/>
            <w:noWrap/>
            <w:vAlign w:val="center"/>
            <w:hideMark/>
          </w:tcPr>
          <w:p w14:paraId="7DFCB74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0,063</w:t>
            </w:r>
          </w:p>
        </w:tc>
        <w:tc>
          <w:tcPr>
            <w:tcW w:w="771" w:type="dxa"/>
            <w:tcBorders>
              <w:top w:val="single" w:sz="4" w:space="0" w:color="auto"/>
            </w:tcBorders>
            <w:shd w:val="clear" w:color="000000" w:fill="FFFFFF"/>
            <w:noWrap/>
            <w:vAlign w:val="bottom"/>
            <w:hideMark/>
          </w:tcPr>
          <w:p w14:paraId="63107C2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0,738</w:t>
            </w:r>
          </w:p>
        </w:tc>
        <w:tc>
          <w:tcPr>
            <w:tcW w:w="709" w:type="dxa"/>
            <w:tcBorders>
              <w:top w:val="single" w:sz="4" w:space="0" w:color="auto"/>
            </w:tcBorders>
            <w:shd w:val="clear" w:color="000000" w:fill="FFFFFF"/>
            <w:noWrap/>
            <w:vAlign w:val="bottom"/>
            <w:hideMark/>
          </w:tcPr>
          <w:p w14:paraId="0A76EDB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0,738</w:t>
            </w:r>
          </w:p>
        </w:tc>
        <w:tc>
          <w:tcPr>
            <w:tcW w:w="709" w:type="dxa"/>
            <w:tcBorders>
              <w:top w:val="single" w:sz="4" w:space="0" w:color="auto"/>
            </w:tcBorders>
            <w:shd w:val="clear" w:color="auto" w:fill="D5DCE4" w:themeFill="text2" w:themeFillTint="33"/>
            <w:noWrap/>
            <w:vAlign w:val="bottom"/>
            <w:hideMark/>
          </w:tcPr>
          <w:p w14:paraId="0F8A0BE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0,748</w:t>
            </w:r>
          </w:p>
        </w:tc>
        <w:tc>
          <w:tcPr>
            <w:tcW w:w="709" w:type="dxa"/>
            <w:tcBorders>
              <w:top w:val="single" w:sz="4" w:space="0" w:color="auto"/>
            </w:tcBorders>
            <w:shd w:val="clear" w:color="000000" w:fill="FFFFFF"/>
            <w:noWrap/>
            <w:vAlign w:val="bottom"/>
            <w:hideMark/>
          </w:tcPr>
          <w:p w14:paraId="3DF84E6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0,768</w:t>
            </w:r>
          </w:p>
        </w:tc>
        <w:tc>
          <w:tcPr>
            <w:tcW w:w="708" w:type="dxa"/>
            <w:tcBorders>
              <w:top w:val="single" w:sz="4" w:space="0" w:color="auto"/>
            </w:tcBorders>
            <w:shd w:val="clear" w:color="000000" w:fill="FFFFFF"/>
            <w:noWrap/>
            <w:vAlign w:val="bottom"/>
            <w:hideMark/>
          </w:tcPr>
          <w:p w14:paraId="79E48DF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0,429</w:t>
            </w:r>
          </w:p>
        </w:tc>
        <w:tc>
          <w:tcPr>
            <w:tcW w:w="709" w:type="dxa"/>
            <w:tcBorders>
              <w:top w:val="single" w:sz="4" w:space="0" w:color="auto"/>
            </w:tcBorders>
            <w:shd w:val="clear" w:color="000000" w:fill="FFFFFF"/>
            <w:noWrap/>
            <w:vAlign w:val="bottom"/>
            <w:hideMark/>
          </w:tcPr>
          <w:p w14:paraId="5026768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0,505</w:t>
            </w:r>
          </w:p>
        </w:tc>
        <w:tc>
          <w:tcPr>
            <w:tcW w:w="709" w:type="dxa"/>
            <w:tcBorders>
              <w:top w:val="single" w:sz="4" w:space="0" w:color="auto"/>
            </w:tcBorders>
            <w:shd w:val="clear" w:color="auto" w:fill="D5DCE4" w:themeFill="text2" w:themeFillTint="33"/>
            <w:noWrap/>
            <w:vAlign w:val="bottom"/>
            <w:hideMark/>
          </w:tcPr>
          <w:p w14:paraId="6E9DC50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0,469</w:t>
            </w:r>
          </w:p>
        </w:tc>
        <w:tc>
          <w:tcPr>
            <w:tcW w:w="709" w:type="dxa"/>
            <w:tcBorders>
              <w:top w:val="single" w:sz="4" w:space="0" w:color="auto"/>
            </w:tcBorders>
            <w:shd w:val="clear" w:color="000000" w:fill="FFFFFF"/>
            <w:noWrap/>
            <w:vAlign w:val="bottom"/>
            <w:hideMark/>
          </w:tcPr>
          <w:p w14:paraId="359C68E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0,439</w:t>
            </w:r>
          </w:p>
        </w:tc>
      </w:tr>
      <w:tr w:rsidR="00684768" w:rsidRPr="00063D2B" w14:paraId="6223BC48" w14:textId="77777777" w:rsidTr="005E5068">
        <w:trPr>
          <w:gridAfter w:val="1"/>
          <w:wAfter w:w="6" w:type="dxa"/>
          <w:trHeight w:val="300"/>
          <w:jc w:val="center"/>
        </w:trPr>
        <w:tc>
          <w:tcPr>
            <w:tcW w:w="567" w:type="dxa"/>
            <w:vMerge/>
            <w:shd w:val="clear" w:color="000000" w:fill="FFFFFF"/>
            <w:noWrap/>
            <w:vAlign w:val="center"/>
            <w:hideMark/>
          </w:tcPr>
          <w:p w14:paraId="4ADF8DAA" w14:textId="77777777" w:rsidR="00684768" w:rsidRPr="00063D2B" w:rsidRDefault="00684768" w:rsidP="005E5068">
            <w:pPr>
              <w:spacing w:after="0" w:line="240" w:lineRule="auto"/>
              <w:rPr>
                <w:rFonts w:eastAsia="Times New Roman" w:cstheme="minorHAnsi"/>
                <w:sz w:val="20"/>
                <w:szCs w:val="20"/>
                <w:lang w:eastAsia="it-IT"/>
              </w:rPr>
            </w:pPr>
          </w:p>
        </w:tc>
        <w:tc>
          <w:tcPr>
            <w:tcW w:w="284" w:type="dxa"/>
            <w:shd w:val="clear" w:color="000000" w:fill="FFFFFF"/>
            <w:noWrap/>
            <w:vAlign w:val="bottom"/>
            <w:hideMark/>
          </w:tcPr>
          <w:p w14:paraId="7D4A7D28"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709" w:type="dxa"/>
            <w:shd w:val="clear" w:color="000000" w:fill="FFFFFF"/>
            <w:noWrap/>
            <w:vAlign w:val="center"/>
            <w:hideMark/>
          </w:tcPr>
          <w:p w14:paraId="2DB075E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0,337</w:t>
            </w:r>
          </w:p>
        </w:tc>
        <w:tc>
          <w:tcPr>
            <w:tcW w:w="708" w:type="dxa"/>
            <w:shd w:val="clear" w:color="000000" w:fill="FFFFFF"/>
            <w:noWrap/>
            <w:vAlign w:val="center"/>
            <w:hideMark/>
          </w:tcPr>
          <w:p w14:paraId="65A7B08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0,246</w:t>
            </w:r>
          </w:p>
        </w:tc>
        <w:tc>
          <w:tcPr>
            <w:tcW w:w="709" w:type="dxa"/>
            <w:shd w:val="clear" w:color="auto" w:fill="D5DCE4" w:themeFill="text2" w:themeFillTint="33"/>
            <w:noWrap/>
            <w:vAlign w:val="center"/>
            <w:hideMark/>
          </w:tcPr>
          <w:p w14:paraId="6D2BF8D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0,246</w:t>
            </w:r>
          </w:p>
        </w:tc>
        <w:tc>
          <w:tcPr>
            <w:tcW w:w="709" w:type="dxa"/>
            <w:shd w:val="clear" w:color="000000" w:fill="FFFFFF"/>
            <w:noWrap/>
            <w:vAlign w:val="center"/>
            <w:hideMark/>
          </w:tcPr>
          <w:p w14:paraId="4AF5589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0,345</w:t>
            </w:r>
          </w:p>
        </w:tc>
        <w:tc>
          <w:tcPr>
            <w:tcW w:w="771" w:type="dxa"/>
            <w:shd w:val="clear" w:color="000000" w:fill="FFFFFF"/>
            <w:noWrap/>
            <w:vAlign w:val="bottom"/>
            <w:hideMark/>
          </w:tcPr>
          <w:p w14:paraId="4154A3F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0,622</w:t>
            </w:r>
          </w:p>
        </w:tc>
        <w:tc>
          <w:tcPr>
            <w:tcW w:w="709" w:type="dxa"/>
            <w:shd w:val="clear" w:color="000000" w:fill="FFFFFF"/>
            <w:noWrap/>
            <w:vAlign w:val="bottom"/>
            <w:hideMark/>
          </w:tcPr>
          <w:p w14:paraId="6724533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0,655</w:t>
            </w:r>
          </w:p>
        </w:tc>
        <w:tc>
          <w:tcPr>
            <w:tcW w:w="709" w:type="dxa"/>
            <w:shd w:val="clear" w:color="auto" w:fill="D5DCE4" w:themeFill="text2" w:themeFillTint="33"/>
            <w:noWrap/>
            <w:vAlign w:val="bottom"/>
            <w:hideMark/>
          </w:tcPr>
          <w:p w14:paraId="779A30A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0,645</w:t>
            </w:r>
          </w:p>
        </w:tc>
        <w:tc>
          <w:tcPr>
            <w:tcW w:w="709" w:type="dxa"/>
            <w:shd w:val="clear" w:color="000000" w:fill="FFFFFF"/>
            <w:noWrap/>
            <w:vAlign w:val="bottom"/>
            <w:hideMark/>
          </w:tcPr>
          <w:p w14:paraId="714AAE7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0,688</w:t>
            </w:r>
          </w:p>
        </w:tc>
        <w:tc>
          <w:tcPr>
            <w:tcW w:w="708" w:type="dxa"/>
            <w:shd w:val="clear" w:color="000000" w:fill="FFFFFF"/>
            <w:noWrap/>
            <w:vAlign w:val="bottom"/>
            <w:hideMark/>
          </w:tcPr>
          <w:p w14:paraId="591520F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0,542</w:t>
            </w:r>
          </w:p>
        </w:tc>
        <w:tc>
          <w:tcPr>
            <w:tcW w:w="709" w:type="dxa"/>
            <w:shd w:val="clear" w:color="000000" w:fill="FFFFFF"/>
            <w:noWrap/>
            <w:vAlign w:val="bottom"/>
            <w:hideMark/>
          </w:tcPr>
          <w:p w14:paraId="1A9E940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0,539</w:t>
            </w:r>
          </w:p>
        </w:tc>
        <w:tc>
          <w:tcPr>
            <w:tcW w:w="709" w:type="dxa"/>
            <w:shd w:val="clear" w:color="auto" w:fill="D5DCE4" w:themeFill="text2" w:themeFillTint="33"/>
            <w:noWrap/>
            <w:vAlign w:val="bottom"/>
            <w:hideMark/>
          </w:tcPr>
          <w:p w14:paraId="50A274E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0,521</w:t>
            </w:r>
          </w:p>
        </w:tc>
        <w:tc>
          <w:tcPr>
            <w:tcW w:w="709" w:type="dxa"/>
            <w:shd w:val="clear" w:color="000000" w:fill="FFFFFF"/>
            <w:noWrap/>
            <w:vAlign w:val="bottom"/>
            <w:hideMark/>
          </w:tcPr>
          <w:p w14:paraId="036C05B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0,481</w:t>
            </w:r>
          </w:p>
        </w:tc>
      </w:tr>
      <w:tr w:rsidR="00684768" w:rsidRPr="00063D2B" w14:paraId="36D7D094" w14:textId="77777777" w:rsidTr="005E5068">
        <w:trPr>
          <w:gridAfter w:val="1"/>
          <w:wAfter w:w="6" w:type="dxa"/>
          <w:trHeight w:val="300"/>
          <w:jc w:val="center"/>
        </w:trPr>
        <w:tc>
          <w:tcPr>
            <w:tcW w:w="567" w:type="dxa"/>
            <w:vMerge w:val="restart"/>
            <w:shd w:val="clear" w:color="000000" w:fill="FFFFFF"/>
            <w:noWrap/>
            <w:vAlign w:val="center"/>
            <w:hideMark/>
          </w:tcPr>
          <w:p w14:paraId="0FFAF398"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2021</w:t>
            </w:r>
          </w:p>
        </w:tc>
        <w:tc>
          <w:tcPr>
            <w:tcW w:w="284" w:type="dxa"/>
            <w:shd w:val="clear" w:color="000000" w:fill="FFFFFF"/>
            <w:noWrap/>
            <w:vAlign w:val="bottom"/>
            <w:hideMark/>
          </w:tcPr>
          <w:p w14:paraId="295FD51A"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709" w:type="dxa"/>
            <w:shd w:val="clear" w:color="000000" w:fill="FFFFFF"/>
            <w:noWrap/>
            <w:vAlign w:val="center"/>
            <w:hideMark/>
          </w:tcPr>
          <w:p w14:paraId="5C7F19D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-0,135</w:t>
            </w:r>
          </w:p>
        </w:tc>
        <w:tc>
          <w:tcPr>
            <w:tcW w:w="708" w:type="dxa"/>
            <w:shd w:val="clear" w:color="000000" w:fill="FFFFFF"/>
            <w:noWrap/>
            <w:vAlign w:val="center"/>
            <w:hideMark/>
          </w:tcPr>
          <w:p w14:paraId="130F2D5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-0,043</w:t>
            </w:r>
          </w:p>
        </w:tc>
        <w:tc>
          <w:tcPr>
            <w:tcW w:w="709" w:type="dxa"/>
            <w:shd w:val="clear" w:color="auto" w:fill="D5DCE4" w:themeFill="text2" w:themeFillTint="33"/>
            <w:noWrap/>
            <w:vAlign w:val="center"/>
            <w:hideMark/>
          </w:tcPr>
          <w:p w14:paraId="484A389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-0,147</w:t>
            </w:r>
          </w:p>
        </w:tc>
        <w:tc>
          <w:tcPr>
            <w:tcW w:w="709" w:type="dxa"/>
            <w:shd w:val="clear" w:color="000000" w:fill="FFFFFF"/>
            <w:noWrap/>
            <w:vAlign w:val="center"/>
            <w:hideMark/>
          </w:tcPr>
          <w:p w14:paraId="6269F39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-0,050</w:t>
            </w:r>
          </w:p>
        </w:tc>
        <w:tc>
          <w:tcPr>
            <w:tcW w:w="771" w:type="dxa"/>
            <w:shd w:val="clear" w:color="000000" w:fill="FFFFFF"/>
            <w:noWrap/>
            <w:vAlign w:val="bottom"/>
            <w:hideMark/>
          </w:tcPr>
          <w:p w14:paraId="15B2AF9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0,030</w:t>
            </w:r>
          </w:p>
        </w:tc>
        <w:tc>
          <w:tcPr>
            <w:tcW w:w="709" w:type="dxa"/>
            <w:shd w:val="clear" w:color="000000" w:fill="FFFFFF"/>
            <w:noWrap/>
            <w:vAlign w:val="bottom"/>
            <w:hideMark/>
          </w:tcPr>
          <w:p w14:paraId="0305FAA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-0,058</w:t>
            </w:r>
          </w:p>
        </w:tc>
        <w:tc>
          <w:tcPr>
            <w:tcW w:w="709" w:type="dxa"/>
            <w:shd w:val="clear" w:color="auto" w:fill="D5DCE4" w:themeFill="text2" w:themeFillTint="33"/>
            <w:noWrap/>
            <w:vAlign w:val="bottom"/>
            <w:hideMark/>
          </w:tcPr>
          <w:p w14:paraId="176CF21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0,022</w:t>
            </w:r>
          </w:p>
        </w:tc>
        <w:tc>
          <w:tcPr>
            <w:tcW w:w="709" w:type="dxa"/>
            <w:shd w:val="clear" w:color="000000" w:fill="FFFFFF"/>
            <w:noWrap/>
            <w:vAlign w:val="bottom"/>
            <w:hideMark/>
          </w:tcPr>
          <w:p w14:paraId="4990430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0,150</w:t>
            </w:r>
          </w:p>
        </w:tc>
        <w:tc>
          <w:tcPr>
            <w:tcW w:w="708" w:type="dxa"/>
            <w:shd w:val="clear" w:color="000000" w:fill="FFFFFF"/>
            <w:noWrap/>
            <w:vAlign w:val="bottom"/>
            <w:hideMark/>
          </w:tcPr>
          <w:p w14:paraId="3E678EB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-0,125</w:t>
            </w:r>
          </w:p>
        </w:tc>
        <w:tc>
          <w:tcPr>
            <w:tcW w:w="709" w:type="dxa"/>
            <w:shd w:val="clear" w:color="000000" w:fill="FFFFFF"/>
            <w:noWrap/>
            <w:vAlign w:val="bottom"/>
            <w:hideMark/>
          </w:tcPr>
          <w:p w14:paraId="25DB37B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-0,159</w:t>
            </w:r>
          </w:p>
        </w:tc>
        <w:tc>
          <w:tcPr>
            <w:tcW w:w="709" w:type="dxa"/>
            <w:shd w:val="clear" w:color="auto" w:fill="D5DCE4" w:themeFill="text2" w:themeFillTint="33"/>
            <w:noWrap/>
            <w:vAlign w:val="bottom"/>
            <w:hideMark/>
          </w:tcPr>
          <w:p w14:paraId="65F5E9A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0,251</w:t>
            </w:r>
          </w:p>
        </w:tc>
        <w:tc>
          <w:tcPr>
            <w:tcW w:w="709" w:type="dxa"/>
            <w:shd w:val="clear" w:color="000000" w:fill="FFFFFF"/>
            <w:noWrap/>
            <w:vAlign w:val="bottom"/>
            <w:hideMark/>
          </w:tcPr>
          <w:p w14:paraId="2612B5D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0,287</w:t>
            </w:r>
          </w:p>
        </w:tc>
      </w:tr>
      <w:tr w:rsidR="00684768" w:rsidRPr="00063D2B" w14:paraId="69E79DF6" w14:textId="77777777" w:rsidTr="005E5068">
        <w:trPr>
          <w:gridAfter w:val="1"/>
          <w:wAfter w:w="6" w:type="dxa"/>
          <w:trHeight w:val="300"/>
          <w:jc w:val="center"/>
        </w:trPr>
        <w:tc>
          <w:tcPr>
            <w:tcW w:w="567" w:type="dxa"/>
            <w:vMerge/>
            <w:shd w:val="clear" w:color="000000" w:fill="FFFFFF"/>
            <w:noWrap/>
            <w:vAlign w:val="center"/>
            <w:hideMark/>
          </w:tcPr>
          <w:p w14:paraId="106989D2" w14:textId="77777777" w:rsidR="00684768" w:rsidRPr="00063D2B" w:rsidRDefault="00684768" w:rsidP="005E5068">
            <w:pPr>
              <w:spacing w:after="0" w:line="240" w:lineRule="auto"/>
              <w:rPr>
                <w:rFonts w:eastAsia="Times New Roman" w:cstheme="minorHAnsi"/>
                <w:sz w:val="20"/>
                <w:szCs w:val="20"/>
                <w:lang w:eastAsia="it-IT"/>
              </w:rPr>
            </w:pPr>
          </w:p>
        </w:tc>
        <w:tc>
          <w:tcPr>
            <w:tcW w:w="284" w:type="dxa"/>
            <w:shd w:val="clear" w:color="000000" w:fill="FFFFFF"/>
            <w:noWrap/>
            <w:vAlign w:val="bottom"/>
            <w:hideMark/>
          </w:tcPr>
          <w:p w14:paraId="3BD8FEC7"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709" w:type="dxa"/>
            <w:shd w:val="clear" w:color="000000" w:fill="FFFFFF"/>
            <w:noWrap/>
            <w:vAlign w:val="center"/>
            <w:hideMark/>
          </w:tcPr>
          <w:p w14:paraId="0EB2E8B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0,052</w:t>
            </w:r>
          </w:p>
        </w:tc>
        <w:tc>
          <w:tcPr>
            <w:tcW w:w="708" w:type="dxa"/>
            <w:shd w:val="clear" w:color="000000" w:fill="FFFFFF"/>
            <w:noWrap/>
            <w:vAlign w:val="center"/>
            <w:hideMark/>
          </w:tcPr>
          <w:p w14:paraId="0095A45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0,227</w:t>
            </w:r>
          </w:p>
        </w:tc>
        <w:tc>
          <w:tcPr>
            <w:tcW w:w="709" w:type="dxa"/>
            <w:shd w:val="clear" w:color="auto" w:fill="D5DCE4" w:themeFill="text2" w:themeFillTint="33"/>
            <w:noWrap/>
            <w:vAlign w:val="center"/>
            <w:hideMark/>
          </w:tcPr>
          <w:p w14:paraId="07CDA55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-0,048</w:t>
            </w:r>
          </w:p>
        </w:tc>
        <w:tc>
          <w:tcPr>
            <w:tcW w:w="709" w:type="dxa"/>
            <w:shd w:val="clear" w:color="000000" w:fill="FFFFFF"/>
            <w:noWrap/>
            <w:vAlign w:val="center"/>
            <w:hideMark/>
          </w:tcPr>
          <w:p w14:paraId="774D0CB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-0,094</w:t>
            </w:r>
          </w:p>
        </w:tc>
        <w:tc>
          <w:tcPr>
            <w:tcW w:w="771" w:type="dxa"/>
            <w:shd w:val="clear" w:color="000000" w:fill="FFFFFF"/>
            <w:noWrap/>
            <w:vAlign w:val="bottom"/>
            <w:hideMark/>
          </w:tcPr>
          <w:p w14:paraId="61EDB57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0,080</w:t>
            </w:r>
          </w:p>
        </w:tc>
        <w:tc>
          <w:tcPr>
            <w:tcW w:w="709" w:type="dxa"/>
            <w:shd w:val="clear" w:color="000000" w:fill="FFFFFF"/>
            <w:noWrap/>
            <w:vAlign w:val="bottom"/>
            <w:hideMark/>
          </w:tcPr>
          <w:p w14:paraId="7757648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0,166</w:t>
            </w:r>
          </w:p>
        </w:tc>
        <w:tc>
          <w:tcPr>
            <w:tcW w:w="709" w:type="dxa"/>
            <w:shd w:val="clear" w:color="auto" w:fill="D5DCE4" w:themeFill="text2" w:themeFillTint="33"/>
            <w:noWrap/>
            <w:vAlign w:val="bottom"/>
            <w:hideMark/>
          </w:tcPr>
          <w:p w14:paraId="6EB8882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0,204</w:t>
            </w:r>
          </w:p>
        </w:tc>
        <w:tc>
          <w:tcPr>
            <w:tcW w:w="709" w:type="dxa"/>
            <w:shd w:val="clear" w:color="000000" w:fill="FFFFFF"/>
            <w:noWrap/>
            <w:vAlign w:val="bottom"/>
            <w:hideMark/>
          </w:tcPr>
          <w:p w14:paraId="384B21D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0,075</w:t>
            </w:r>
          </w:p>
        </w:tc>
        <w:tc>
          <w:tcPr>
            <w:tcW w:w="708" w:type="dxa"/>
            <w:shd w:val="clear" w:color="000000" w:fill="FFFFFF"/>
            <w:noWrap/>
            <w:vAlign w:val="bottom"/>
            <w:hideMark/>
          </w:tcPr>
          <w:p w14:paraId="355E3CC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-0,070</w:t>
            </w:r>
          </w:p>
        </w:tc>
        <w:tc>
          <w:tcPr>
            <w:tcW w:w="709" w:type="dxa"/>
            <w:shd w:val="clear" w:color="000000" w:fill="FFFFFF"/>
            <w:noWrap/>
            <w:vAlign w:val="bottom"/>
            <w:hideMark/>
          </w:tcPr>
          <w:p w14:paraId="7B4F5C6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0,090</w:t>
            </w:r>
          </w:p>
        </w:tc>
        <w:tc>
          <w:tcPr>
            <w:tcW w:w="709" w:type="dxa"/>
            <w:shd w:val="clear" w:color="auto" w:fill="D5DCE4" w:themeFill="text2" w:themeFillTint="33"/>
            <w:noWrap/>
            <w:vAlign w:val="bottom"/>
            <w:hideMark/>
          </w:tcPr>
          <w:p w14:paraId="2E9A17F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0,152</w:t>
            </w:r>
          </w:p>
        </w:tc>
        <w:tc>
          <w:tcPr>
            <w:tcW w:w="709" w:type="dxa"/>
            <w:shd w:val="clear" w:color="000000" w:fill="FFFFFF"/>
            <w:noWrap/>
            <w:vAlign w:val="bottom"/>
            <w:hideMark/>
          </w:tcPr>
          <w:p w14:paraId="6896527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-0,160</w:t>
            </w:r>
          </w:p>
        </w:tc>
      </w:tr>
      <w:tr w:rsidR="00684768" w:rsidRPr="00063D2B" w14:paraId="00F2909F" w14:textId="77777777" w:rsidTr="005E5068">
        <w:trPr>
          <w:gridAfter w:val="1"/>
          <w:wAfter w:w="6" w:type="dxa"/>
          <w:trHeight w:val="300"/>
          <w:jc w:val="center"/>
        </w:trPr>
        <w:tc>
          <w:tcPr>
            <w:tcW w:w="567" w:type="dxa"/>
            <w:vMerge w:val="restart"/>
            <w:shd w:val="clear" w:color="000000" w:fill="FFFFFF"/>
            <w:noWrap/>
            <w:vAlign w:val="center"/>
            <w:hideMark/>
          </w:tcPr>
          <w:p w14:paraId="75A3DFAC"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2022</w:t>
            </w:r>
          </w:p>
        </w:tc>
        <w:tc>
          <w:tcPr>
            <w:tcW w:w="284" w:type="dxa"/>
            <w:shd w:val="clear" w:color="000000" w:fill="FFFFFF"/>
            <w:noWrap/>
            <w:vAlign w:val="bottom"/>
            <w:hideMark/>
          </w:tcPr>
          <w:p w14:paraId="2AC8CC9C"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709" w:type="dxa"/>
            <w:shd w:val="clear" w:color="000000" w:fill="FFFFFF"/>
            <w:noWrap/>
            <w:vAlign w:val="center"/>
            <w:hideMark/>
          </w:tcPr>
          <w:p w14:paraId="745E51B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0,339</w:t>
            </w:r>
          </w:p>
        </w:tc>
        <w:tc>
          <w:tcPr>
            <w:tcW w:w="708" w:type="dxa"/>
            <w:shd w:val="clear" w:color="000000" w:fill="FFFFFF"/>
            <w:noWrap/>
            <w:vAlign w:val="center"/>
            <w:hideMark/>
          </w:tcPr>
          <w:p w14:paraId="6171B98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0,224</w:t>
            </w:r>
          </w:p>
        </w:tc>
        <w:tc>
          <w:tcPr>
            <w:tcW w:w="709" w:type="dxa"/>
            <w:shd w:val="clear" w:color="auto" w:fill="D5DCE4" w:themeFill="text2" w:themeFillTint="33"/>
            <w:noWrap/>
            <w:vAlign w:val="center"/>
            <w:hideMark/>
          </w:tcPr>
          <w:p w14:paraId="62E7B7E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0,313</w:t>
            </w:r>
          </w:p>
        </w:tc>
        <w:tc>
          <w:tcPr>
            <w:tcW w:w="709" w:type="dxa"/>
            <w:shd w:val="clear" w:color="000000" w:fill="FFFFFF"/>
            <w:noWrap/>
            <w:vAlign w:val="center"/>
            <w:hideMark/>
          </w:tcPr>
          <w:p w14:paraId="6E85F6E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0,436</w:t>
            </w:r>
          </w:p>
        </w:tc>
        <w:tc>
          <w:tcPr>
            <w:tcW w:w="771" w:type="dxa"/>
            <w:shd w:val="clear" w:color="000000" w:fill="FFFFFF"/>
            <w:noWrap/>
            <w:vAlign w:val="bottom"/>
            <w:hideMark/>
          </w:tcPr>
          <w:p w14:paraId="245EA0D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0,289</w:t>
            </w:r>
          </w:p>
        </w:tc>
        <w:tc>
          <w:tcPr>
            <w:tcW w:w="709" w:type="dxa"/>
            <w:shd w:val="clear" w:color="000000" w:fill="FFFFFF"/>
            <w:noWrap/>
            <w:vAlign w:val="bottom"/>
            <w:hideMark/>
          </w:tcPr>
          <w:p w14:paraId="5D4C26C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0,275</w:t>
            </w:r>
          </w:p>
        </w:tc>
        <w:tc>
          <w:tcPr>
            <w:tcW w:w="709" w:type="dxa"/>
            <w:shd w:val="clear" w:color="auto" w:fill="D5DCE4" w:themeFill="text2" w:themeFillTint="33"/>
            <w:noWrap/>
            <w:vAlign w:val="bottom"/>
            <w:hideMark/>
          </w:tcPr>
          <w:p w14:paraId="4D776FC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0,155</w:t>
            </w:r>
          </w:p>
        </w:tc>
        <w:tc>
          <w:tcPr>
            <w:tcW w:w="709" w:type="dxa"/>
            <w:shd w:val="clear" w:color="000000" w:fill="FFFFFF"/>
            <w:noWrap/>
            <w:vAlign w:val="bottom"/>
            <w:hideMark/>
          </w:tcPr>
          <w:p w14:paraId="7A0767C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0,290</w:t>
            </w:r>
          </w:p>
        </w:tc>
        <w:tc>
          <w:tcPr>
            <w:tcW w:w="708" w:type="dxa"/>
            <w:shd w:val="clear" w:color="000000" w:fill="FFFFFF"/>
            <w:noWrap/>
            <w:vAlign w:val="bottom"/>
            <w:hideMark/>
          </w:tcPr>
          <w:p w14:paraId="0925124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0,381</w:t>
            </w:r>
          </w:p>
        </w:tc>
        <w:tc>
          <w:tcPr>
            <w:tcW w:w="709" w:type="dxa"/>
            <w:shd w:val="clear" w:color="000000" w:fill="FFFFFF"/>
            <w:noWrap/>
            <w:vAlign w:val="bottom"/>
            <w:hideMark/>
          </w:tcPr>
          <w:p w14:paraId="6E3A6D9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-0,206</w:t>
            </w:r>
          </w:p>
        </w:tc>
        <w:tc>
          <w:tcPr>
            <w:tcW w:w="709" w:type="dxa"/>
            <w:shd w:val="clear" w:color="auto" w:fill="D5DCE4" w:themeFill="text2" w:themeFillTint="33"/>
            <w:noWrap/>
            <w:vAlign w:val="bottom"/>
            <w:hideMark/>
          </w:tcPr>
          <w:p w14:paraId="528AAD6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0,321</w:t>
            </w:r>
          </w:p>
        </w:tc>
        <w:tc>
          <w:tcPr>
            <w:tcW w:w="709" w:type="dxa"/>
            <w:shd w:val="clear" w:color="000000" w:fill="FFFFFF"/>
            <w:noWrap/>
            <w:vAlign w:val="bottom"/>
            <w:hideMark/>
          </w:tcPr>
          <w:p w14:paraId="2D2BB60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0,406</w:t>
            </w:r>
          </w:p>
        </w:tc>
      </w:tr>
      <w:tr w:rsidR="00684768" w:rsidRPr="00063D2B" w14:paraId="706CCEE1" w14:textId="77777777" w:rsidTr="005E5068">
        <w:trPr>
          <w:gridAfter w:val="1"/>
          <w:wAfter w:w="6" w:type="dxa"/>
          <w:trHeight w:val="300"/>
          <w:jc w:val="center"/>
        </w:trPr>
        <w:tc>
          <w:tcPr>
            <w:tcW w:w="567" w:type="dxa"/>
            <w:vMerge/>
            <w:shd w:val="clear" w:color="000000" w:fill="FFFFFF"/>
            <w:noWrap/>
            <w:vAlign w:val="center"/>
            <w:hideMark/>
          </w:tcPr>
          <w:p w14:paraId="74A2DD14" w14:textId="77777777" w:rsidR="00684768" w:rsidRPr="00063D2B" w:rsidRDefault="00684768" w:rsidP="005E5068">
            <w:pPr>
              <w:spacing w:after="0" w:line="240" w:lineRule="auto"/>
              <w:rPr>
                <w:rFonts w:eastAsia="Times New Roman" w:cstheme="minorHAnsi"/>
                <w:sz w:val="20"/>
                <w:szCs w:val="20"/>
                <w:lang w:eastAsia="it-IT"/>
              </w:rPr>
            </w:pPr>
          </w:p>
        </w:tc>
        <w:tc>
          <w:tcPr>
            <w:tcW w:w="284" w:type="dxa"/>
            <w:shd w:val="clear" w:color="000000" w:fill="FFFFFF"/>
            <w:noWrap/>
            <w:vAlign w:val="bottom"/>
            <w:hideMark/>
          </w:tcPr>
          <w:p w14:paraId="270846BF"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709" w:type="dxa"/>
            <w:shd w:val="clear" w:color="000000" w:fill="FFFFFF"/>
            <w:noWrap/>
            <w:vAlign w:val="center"/>
            <w:hideMark/>
          </w:tcPr>
          <w:p w14:paraId="038EE3C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-0,338</w:t>
            </w:r>
          </w:p>
        </w:tc>
        <w:tc>
          <w:tcPr>
            <w:tcW w:w="708" w:type="dxa"/>
            <w:shd w:val="clear" w:color="000000" w:fill="FFFFFF"/>
            <w:noWrap/>
            <w:vAlign w:val="center"/>
            <w:hideMark/>
          </w:tcPr>
          <w:p w14:paraId="1BC533B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-0,272</w:t>
            </w:r>
          </w:p>
        </w:tc>
        <w:tc>
          <w:tcPr>
            <w:tcW w:w="709" w:type="dxa"/>
            <w:shd w:val="clear" w:color="auto" w:fill="D5DCE4" w:themeFill="text2" w:themeFillTint="33"/>
            <w:noWrap/>
            <w:vAlign w:val="center"/>
            <w:hideMark/>
          </w:tcPr>
          <w:p w14:paraId="775CE47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-0,344</w:t>
            </w:r>
          </w:p>
        </w:tc>
        <w:tc>
          <w:tcPr>
            <w:tcW w:w="709" w:type="dxa"/>
            <w:shd w:val="clear" w:color="000000" w:fill="FFFFFF"/>
            <w:noWrap/>
            <w:vAlign w:val="center"/>
            <w:hideMark/>
          </w:tcPr>
          <w:p w14:paraId="41B4A66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-0,376</w:t>
            </w:r>
          </w:p>
        </w:tc>
        <w:tc>
          <w:tcPr>
            <w:tcW w:w="771" w:type="dxa"/>
            <w:shd w:val="clear" w:color="000000" w:fill="FFFFFF"/>
            <w:noWrap/>
            <w:vAlign w:val="bottom"/>
            <w:hideMark/>
          </w:tcPr>
          <w:p w14:paraId="4A60B83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0,175</w:t>
            </w:r>
          </w:p>
        </w:tc>
        <w:tc>
          <w:tcPr>
            <w:tcW w:w="709" w:type="dxa"/>
            <w:shd w:val="clear" w:color="000000" w:fill="FFFFFF"/>
            <w:noWrap/>
            <w:vAlign w:val="bottom"/>
            <w:hideMark/>
          </w:tcPr>
          <w:p w14:paraId="7B8857B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0,157</w:t>
            </w:r>
          </w:p>
        </w:tc>
        <w:tc>
          <w:tcPr>
            <w:tcW w:w="709" w:type="dxa"/>
            <w:shd w:val="clear" w:color="auto" w:fill="D5DCE4" w:themeFill="text2" w:themeFillTint="33"/>
            <w:noWrap/>
            <w:vAlign w:val="bottom"/>
            <w:hideMark/>
          </w:tcPr>
          <w:p w14:paraId="389B099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0,186</w:t>
            </w:r>
          </w:p>
        </w:tc>
        <w:tc>
          <w:tcPr>
            <w:tcW w:w="709" w:type="dxa"/>
            <w:shd w:val="clear" w:color="000000" w:fill="FFFFFF"/>
            <w:noWrap/>
            <w:vAlign w:val="bottom"/>
            <w:hideMark/>
          </w:tcPr>
          <w:p w14:paraId="2ECB992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0,147</w:t>
            </w:r>
          </w:p>
        </w:tc>
        <w:tc>
          <w:tcPr>
            <w:tcW w:w="708" w:type="dxa"/>
            <w:shd w:val="clear" w:color="000000" w:fill="FFFFFF"/>
            <w:noWrap/>
            <w:vAlign w:val="bottom"/>
            <w:hideMark/>
          </w:tcPr>
          <w:p w14:paraId="53C063C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0,113</w:t>
            </w:r>
          </w:p>
        </w:tc>
        <w:tc>
          <w:tcPr>
            <w:tcW w:w="709" w:type="dxa"/>
            <w:shd w:val="clear" w:color="000000" w:fill="FFFFFF"/>
            <w:noWrap/>
            <w:vAlign w:val="bottom"/>
            <w:hideMark/>
          </w:tcPr>
          <w:p w14:paraId="16C1DDD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0,159</w:t>
            </w:r>
          </w:p>
        </w:tc>
        <w:tc>
          <w:tcPr>
            <w:tcW w:w="709" w:type="dxa"/>
            <w:shd w:val="clear" w:color="auto" w:fill="D5DCE4" w:themeFill="text2" w:themeFillTint="33"/>
            <w:noWrap/>
            <w:vAlign w:val="bottom"/>
            <w:hideMark/>
          </w:tcPr>
          <w:p w14:paraId="266801D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-0,301</w:t>
            </w:r>
          </w:p>
        </w:tc>
        <w:tc>
          <w:tcPr>
            <w:tcW w:w="709" w:type="dxa"/>
            <w:shd w:val="clear" w:color="000000" w:fill="FFFFFF"/>
            <w:noWrap/>
            <w:vAlign w:val="bottom"/>
            <w:hideMark/>
          </w:tcPr>
          <w:p w14:paraId="7F1C015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0,280</w:t>
            </w:r>
          </w:p>
        </w:tc>
      </w:tr>
      <w:tr w:rsidR="00684768" w:rsidRPr="00063D2B" w14:paraId="6CEE4465" w14:textId="77777777" w:rsidTr="005E5068">
        <w:trPr>
          <w:gridAfter w:val="1"/>
          <w:wAfter w:w="6" w:type="dxa"/>
          <w:trHeight w:val="300"/>
          <w:jc w:val="center"/>
        </w:trPr>
        <w:tc>
          <w:tcPr>
            <w:tcW w:w="567" w:type="dxa"/>
            <w:vMerge w:val="restart"/>
            <w:shd w:val="clear" w:color="000000" w:fill="FFFFFF"/>
            <w:noWrap/>
            <w:vAlign w:val="center"/>
            <w:hideMark/>
          </w:tcPr>
          <w:p w14:paraId="1949913D"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2023</w:t>
            </w:r>
          </w:p>
        </w:tc>
        <w:tc>
          <w:tcPr>
            <w:tcW w:w="284" w:type="dxa"/>
            <w:shd w:val="clear" w:color="000000" w:fill="FFFFFF"/>
            <w:noWrap/>
            <w:vAlign w:val="bottom"/>
            <w:hideMark/>
          </w:tcPr>
          <w:p w14:paraId="3655A29C"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709" w:type="dxa"/>
            <w:shd w:val="clear" w:color="000000" w:fill="FFFFFF"/>
            <w:noWrap/>
            <w:vAlign w:val="center"/>
            <w:hideMark/>
          </w:tcPr>
          <w:p w14:paraId="0E4BFF2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-0,479</w:t>
            </w:r>
          </w:p>
        </w:tc>
        <w:tc>
          <w:tcPr>
            <w:tcW w:w="708" w:type="dxa"/>
            <w:shd w:val="clear" w:color="000000" w:fill="FFFFFF"/>
            <w:noWrap/>
            <w:vAlign w:val="center"/>
            <w:hideMark/>
          </w:tcPr>
          <w:p w14:paraId="14887C1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-0,396</w:t>
            </w:r>
          </w:p>
        </w:tc>
        <w:tc>
          <w:tcPr>
            <w:tcW w:w="709" w:type="dxa"/>
            <w:shd w:val="clear" w:color="auto" w:fill="D5DCE4" w:themeFill="text2" w:themeFillTint="33"/>
            <w:noWrap/>
            <w:vAlign w:val="center"/>
            <w:hideMark/>
          </w:tcPr>
          <w:p w14:paraId="530E7BE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-0,631</w:t>
            </w:r>
          </w:p>
        </w:tc>
        <w:tc>
          <w:tcPr>
            <w:tcW w:w="709" w:type="dxa"/>
            <w:shd w:val="clear" w:color="000000" w:fill="FFFFFF"/>
            <w:noWrap/>
            <w:vAlign w:val="center"/>
            <w:hideMark/>
          </w:tcPr>
          <w:p w14:paraId="6DB3B05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-0,296</w:t>
            </w:r>
          </w:p>
        </w:tc>
        <w:tc>
          <w:tcPr>
            <w:tcW w:w="771" w:type="dxa"/>
            <w:shd w:val="clear" w:color="000000" w:fill="FFFFFF"/>
            <w:noWrap/>
            <w:vAlign w:val="bottom"/>
            <w:hideMark/>
          </w:tcPr>
          <w:p w14:paraId="2181FE7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-0,129</w:t>
            </w:r>
          </w:p>
        </w:tc>
        <w:tc>
          <w:tcPr>
            <w:tcW w:w="709" w:type="dxa"/>
            <w:shd w:val="clear" w:color="000000" w:fill="FFFFFF"/>
            <w:noWrap/>
            <w:vAlign w:val="bottom"/>
            <w:hideMark/>
          </w:tcPr>
          <w:p w14:paraId="130CAA1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-0,356</w:t>
            </w:r>
          </w:p>
        </w:tc>
        <w:tc>
          <w:tcPr>
            <w:tcW w:w="709" w:type="dxa"/>
            <w:shd w:val="clear" w:color="auto" w:fill="D5DCE4" w:themeFill="text2" w:themeFillTint="33"/>
            <w:noWrap/>
            <w:vAlign w:val="bottom"/>
            <w:hideMark/>
          </w:tcPr>
          <w:p w14:paraId="67E64CC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-0,268</w:t>
            </w:r>
          </w:p>
        </w:tc>
        <w:tc>
          <w:tcPr>
            <w:tcW w:w="709" w:type="dxa"/>
            <w:shd w:val="clear" w:color="000000" w:fill="FFFFFF"/>
            <w:noWrap/>
            <w:vAlign w:val="bottom"/>
            <w:hideMark/>
          </w:tcPr>
          <w:p w14:paraId="091B99D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-0,243</w:t>
            </w:r>
          </w:p>
        </w:tc>
        <w:tc>
          <w:tcPr>
            <w:tcW w:w="708" w:type="dxa"/>
            <w:shd w:val="clear" w:color="000000" w:fill="FFFFFF"/>
            <w:noWrap/>
            <w:vAlign w:val="bottom"/>
            <w:hideMark/>
          </w:tcPr>
          <w:p w14:paraId="02E9FED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-0,178</w:t>
            </w:r>
          </w:p>
        </w:tc>
        <w:tc>
          <w:tcPr>
            <w:tcW w:w="709" w:type="dxa"/>
            <w:shd w:val="clear" w:color="000000" w:fill="FFFFFF"/>
            <w:noWrap/>
            <w:vAlign w:val="bottom"/>
            <w:hideMark/>
          </w:tcPr>
          <w:p w14:paraId="65E22BE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-0,268</w:t>
            </w:r>
          </w:p>
        </w:tc>
        <w:tc>
          <w:tcPr>
            <w:tcW w:w="709" w:type="dxa"/>
            <w:shd w:val="clear" w:color="auto" w:fill="D5DCE4" w:themeFill="text2" w:themeFillTint="33"/>
            <w:noWrap/>
            <w:vAlign w:val="bottom"/>
            <w:hideMark/>
          </w:tcPr>
          <w:p w14:paraId="30BA7CA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-0,178</w:t>
            </w:r>
          </w:p>
        </w:tc>
        <w:tc>
          <w:tcPr>
            <w:tcW w:w="709" w:type="dxa"/>
            <w:shd w:val="clear" w:color="000000" w:fill="FFFFFF"/>
            <w:noWrap/>
            <w:vAlign w:val="bottom"/>
            <w:hideMark/>
          </w:tcPr>
          <w:p w14:paraId="7D4C232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-0,008</w:t>
            </w:r>
          </w:p>
        </w:tc>
      </w:tr>
      <w:tr w:rsidR="00684768" w:rsidRPr="00063D2B" w14:paraId="6C3201EC" w14:textId="77777777" w:rsidTr="005E5068">
        <w:trPr>
          <w:gridAfter w:val="1"/>
          <w:wAfter w:w="6" w:type="dxa"/>
          <w:trHeight w:val="300"/>
          <w:jc w:val="center"/>
        </w:trPr>
        <w:tc>
          <w:tcPr>
            <w:tcW w:w="567" w:type="dxa"/>
            <w:vMerge/>
            <w:shd w:val="clear" w:color="000000" w:fill="FFFFFF"/>
            <w:noWrap/>
            <w:vAlign w:val="center"/>
            <w:hideMark/>
          </w:tcPr>
          <w:p w14:paraId="0BC2C8D0" w14:textId="77777777" w:rsidR="00684768" w:rsidRPr="00063D2B" w:rsidRDefault="00684768" w:rsidP="005E5068">
            <w:pPr>
              <w:spacing w:after="0" w:line="240" w:lineRule="auto"/>
              <w:rPr>
                <w:rFonts w:eastAsia="Times New Roman" w:cstheme="minorHAnsi"/>
                <w:sz w:val="20"/>
                <w:szCs w:val="20"/>
                <w:lang w:eastAsia="it-IT"/>
              </w:rPr>
            </w:pPr>
          </w:p>
        </w:tc>
        <w:tc>
          <w:tcPr>
            <w:tcW w:w="284" w:type="dxa"/>
            <w:shd w:val="clear" w:color="000000" w:fill="FFFFFF"/>
            <w:noWrap/>
            <w:vAlign w:val="bottom"/>
            <w:hideMark/>
          </w:tcPr>
          <w:p w14:paraId="4A9E7940"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709" w:type="dxa"/>
            <w:shd w:val="clear" w:color="000000" w:fill="FFFFFF"/>
            <w:noWrap/>
            <w:vAlign w:val="center"/>
            <w:hideMark/>
          </w:tcPr>
          <w:p w14:paraId="3C9E741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-0,286</w:t>
            </w:r>
          </w:p>
        </w:tc>
        <w:tc>
          <w:tcPr>
            <w:tcW w:w="708" w:type="dxa"/>
            <w:shd w:val="clear" w:color="000000" w:fill="FFFFFF"/>
            <w:noWrap/>
            <w:vAlign w:val="center"/>
            <w:hideMark/>
          </w:tcPr>
          <w:p w14:paraId="25D8D9D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-0,252</w:t>
            </w:r>
          </w:p>
        </w:tc>
        <w:tc>
          <w:tcPr>
            <w:tcW w:w="709" w:type="dxa"/>
            <w:shd w:val="clear" w:color="auto" w:fill="D5DCE4" w:themeFill="text2" w:themeFillTint="33"/>
            <w:noWrap/>
            <w:vAlign w:val="center"/>
            <w:hideMark/>
          </w:tcPr>
          <w:p w14:paraId="0B2A097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0,113</w:t>
            </w:r>
          </w:p>
        </w:tc>
        <w:tc>
          <w:tcPr>
            <w:tcW w:w="709" w:type="dxa"/>
            <w:shd w:val="clear" w:color="000000" w:fill="FFFFFF"/>
            <w:noWrap/>
            <w:vAlign w:val="center"/>
            <w:hideMark/>
          </w:tcPr>
          <w:p w14:paraId="66BAC7F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-0,286</w:t>
            </w:r>
          </w:p>
        </w:tc>
        <w:tc>
          <w:tcPr>
            <w:tcW w:w="771" w:type="dxa"/>
            <w:shd w:val="clear" w:color="000000" w:fill="FFFFFF"/>
            <w:noWrap/>
            <w:vAlign w:val="bottom"/>
            <w:hideMark/>
          </w:tcPr>
          <w:p w14:paraId="26963A7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-0,038</w:t>
            </w:r>
          </w:p>
        </w:tc>
        <w:tc>
          <w:tcPr>
            <w:tcW w:w="709" w:type="dxa"/>
            <w:shd w:val="clear" w:color="000000" w:fill="FFFFFF"/>
            <w:noWrap/>
            <w:vAlign w:val="bottom"/>
            <w:hideMark/>
          </w:tcPr>
          <w:p w14:paraId="6C4E3BC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-0,205</w:t>
            </w:r>
          </w:p>
        </w:tc>
        <w:tc>
          <w:tcPr>
            <w:tcW w:w="709" w:type="dxa"/>
            <w:shd w:val="clear" w:color="auto" w:fill="D5DCE4" w:themeFill="text2" w:themeFillTint="33"/>
            <w:noWrap/>
            <w:vAlign w:val="bottom"/>
            <w:hideMark/>
          </w:tcPr>
          <w:p w14:paraId="10590D6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0,284</w:t>
            </w:r>
          </w:p>
        </w:tc>
        <w:tc>
          <w:tcPr>
            <w:tcW w:w="709" w:type="dxa"/>
            <w:shd w:val="clear" w:color="000000" w:fill="FFFFFF"/>
            <w:noWrap/>
            <w:vAlign w:val="bottom"/>
            <w:hideMark/>
          </w:tcPr>
          <w:p w14:paraId="4362F6E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0,137</w:t>
            </w:r>
          </w:p>
        </w:tc>
        <w:tc>
          <w:tcPr>
            <w:tcW w:w="708" w:type="dxa"/>
            <w:shd w:val="clear" w:color="000000" w:fill="FFFFFF"/>
            <w:noWrap/>
            <w:vAlign w:val="bottom"/>
            <w:hideMark/>
          </w:tcPr>
          <w:p w14:paraId="46A73D1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-0,327</w:t>
            </w:r>
          </w:p>
        </w:tc>
        <w:tc>
          <w:tcPr>
            <w:tcW w:w="709" w:type="dxa"/>
            <w:shd w:val="clear" w:color="000000" w:fill="FFFFFF"/>
            <w:noWrap/>
            <w:vAlign w:val="bottom"/>
            <w:hideMark/>
          </w:tcPr>
          <w:p w14:paraId="18DF32D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-0,257</w:t>
            </w:r>
          </w:p>
        </w:tc>
        <w:tc>
          <w:tcPr>
            <w:tcW w:w="709" w:type="dxa"/>
            <w:shd w:val="clear" w:color="auto" w:fill="D5DCE4" w:themeFill="text2" w:themeFillTint="33"/>
            <w:noWrap/>
            <w:vAlign w:val="bottom"/>
            <w:hideMark/>
          </w:tcPr>
          <w:p w14:paraId="45AD036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-0,028</w:t>
            </w:r>
          </w:p>
        </w:tc>
        <w:tc>
          <w:tcPr>
            <w:tcW w:w="709" w:type="dxa"/>
            <w:shd w:val="clear" w:color="000000" w:fill="FFFFFF"/>
            <w:noWrap/>
            <w:vAlign w:val="bottom"/>
            <w:hideMark/>
          </w:tcPr>
          <w:p w14:paraId="1969000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-0,200</w:t>
            </w:r>
          </w:p>
        </w:tc>
      </w:tr>
    </w:tbl>
    <w:p w14:paraId="5580B996" w14:textId="0F8ED1A9" w:rsidR="00684768" w:rsidRPr="00CB2B1F" w:rsidRDefault="00684768" w:rsidP="00684768">
      <w:pPr>
        <w:spacing w:after="0" w:line="276" w:lineRule="auto"/>
        <w:ind w:left="142" w:right="140"/>
        <w:jc w:val="both"/>
        <w:rPr>
          <w:rFonts w:eastAsia="Aptos" w:cstheme="minorHAnsi"/>
          <w:i/>
          <w:iCs/>
          <w:kern w:val="2"/>
          <w:sz w:val="18"/>
          <w:szCs w:val="18"/>
          <w:lang w:val="en-GB"/>
          <w14:ligatures w14:val="standardContextual"/>
        </w:rPr>
      </w:pPr>
      <w:r w:rsidRPr="00CB2B1F">
        <w:rPr>
          <w:rFonts w:eastAsia="Aptos" w:cstheme="minorHAnsi"/>
          <w:i/>
          <w:iCs/>
          <w:kern w:val="2"/>
          <w:sz w:val="18"/>
          <w:szCs w:val="18"/>
          <w:lang w:val="en-GB"/>
          <w14:ligatures w14:val="standardContextual"/>
        </w:rPr>
        <w:t>Fonte: Regional Bank Lending Survey</w:t>
      </w:r>
    </w:p>
    <w:p w14:paraId="465C9D43" w14:textId="77777777" w:rsidR="00684768" w:rsidRPr="00063D2B" w:rsidRDefault="00684768" w:rsidP="00684768">
      <w:pPr>
        <w:spacing w:after="120" w:line="276" w:lineRule="auto"/>
        <w:ind w:left="142" w:right="140"/>
        <w:jc w:val="both"/>
        <w:rPr>
          <w:rFonts w:eastAsia="Aptos" w:cstheme="minorHAnsi"/>
          <w:kern w:val="2"/>
          <w:sz w:val="16"/>
          <w:szCs w:val="16"/>
          <w14:ligatures w14:val="standardContextual"/>
        </w:rPr>
      </w:pPr>
      <w:r w:rsidRPr="00063D2B">
        <w:rPr>
          <w:rFonts w:eastAsia="Aptos" w:cstheme="minorHAnsi"/>
          <w:kern w:val="2"/>
          <w:sz w:val="16"/>
          <w:szCs w:val="16"/>
          <w14:ligatures w14:val="standardContextual"/>
        </w:rPr>
        <w:t xml:space="preserve">(1) Valori positivi dell’indice indicano un contributo all’espansione della domanda; valori negativi un contributo alla flessione della domanda. L’indice di diffusione è costruito aggregando le risposte qualitative fornite dalle banche partecipanti all’indagine sulla base dei prestiti erogati alle imprese residenti nelle diverse aree geografiche e ha un campo di variazione </w:t>
      </w:r>
      <w:proofErr w:type="gramStart"/>
      <w:r w:rsidRPr="00063D2B">
        <w:rPr>
          <w:rFonts w:eastAsia="Aptos" w:cstheme="minorHAnsi"/>
          <w:kern w:val="2"/>
          <w:sz w:val="16"/>
          <w:szCs w:val="16"/>
          <w14:ligatures w14:val="standardContextual"/>
        </w:rPr>
        <w:t>compreso  tra</w:t>
      </w:r>
      <w:proofErr w:type="gramEnd"/>
      <w:r w:rsidRPr="00063D2B">
        <w:rPr>
          <w:rFonts w:eastAsia="Aptos" w:cstheme="minorHAnsi"/>
          <w:kern w:val="2"/>
          <w:sz w:val="16"/>
          <w:szCs w:val="16"/>
          <w14:ligatures w14:val="standardContextual"/>
        </w:rPr>
        <w:t xml:space="preserve"> -1 e 1.</w:t>
      </w:r>
    </w:p>
    <w:p w14:paraId="6A09F126" w14:textId="1D71BBFC"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 xml:space="preserve">L’aumento degli oneri finanziari e la riduzione del credito disponibili per le PMI riflettono dunque una situazione di vulnerabilità del sistema economico italiano in cui l'accesso al credito sta </w:t>
      </w:r>
      <w:r w:rsidR="00FE42F6">
        <w:rPr>
          <w:rFonts w:eastAsia="Aptos" w:cstheme="minorHAnsi"/>
          <w:kern w:val="2"/>
          <w14:ligatures w14:val="standardContextual"/>
        </w:rPr>
        <w:t>progressivamente diventando</w:t>
      </w:r>
      <w:r w:rsidRPr="00063D2B">
        <w:rPr>
          <w:rFonts w:eastAsia="Aptos" w:cstheme="minorHAnsi"/>
          <w:kern w:val="2"/>
          <w14:ligatures w14:val="standardContextual"/>
        </w:rPr>
        <w:t xml:space="preserve"> sempre più ristretto e costoso proprio in un momento in cui le imprese avrebbero bisogno di risorse per adattarsi a un contesto globale </w:t>
      </w:r>
      <w:r w:rsidR="00FE42F6">
        <w:rPr>
          <w:rFonts w:eastAsia="Aptos" w:cstheme="minorHAnsi"/>
          <w:kern w:val="2"/>
          <w14:ligatures w14:val="standardContextual"/>
        </w:rPr>
        <w:t>maggiormente</w:t>
      </w:r>
      <w:r w:rsidRPr="00063D2B">
        <w:rPr>
          <w:rFonts w:eastAsia="Aptos" w:cstheme="minorHAnsi"/>
          <w:kern w:val="2"/>
          <w14:ligatures w14:val="standardContextual"/>
        </w:rPr>
        <w:t xml:space="preserve"> competitivo e dinamico.</w:t>
      </w:r>
    </w:p>
    <w:tbl>
      <w:tblPr>
        <w:tblW w:w="9639" w:type="dxa"/>
        <w:tblCellMar>
          <w:left w:w="70" w:type="dxa"/>
          <w:right w:w="70" w:type="dxa"/>
        </w:tblCellMar>
        <w:tblLook w:val="04A0" w:firstRow="1" w:lastRow="0" w:firstColumn="1" w:lastColumn="0" w:noHBand="0" w:noVBand="1"/>
      </w:tblPr>
      <w:tblGrid>
        <w:gridCol w:w="701"/>
        <w:gridCol w:w="292"/>
        <w:gridCol w:w="850"/>
        <w:gridCol w:w="709"/>
        <w:gridCol w:w="709"/>
        <w:gridCol w:w="708"/>
        <w:gridCol w:w="709"/>
        <w:gridCol w:w="709"/>
        <w:gridCol w:w="709"/>
        <w:gridCol w:w="708"/>
        <w:gridCol w:w="709"/>
        <w:gridCol w:w="709"/>
        <w:gridCol w:w="694"/>
        <w:gridCol w:w="723"/>
      </w:tblGrid>
      <w:tr w:rsidR="00684768" w:rsidRPr="00063D2B" w14:paraId="1BA0A833" w14:textId="77777777" w:rsidTr="005E5068">
        <w:trPr>
          <w:trHeight w:val="264"/>
        </w:trPr>
        <w:tc>
          <w:tcPr>
            <w:tcW w:w="9639" w:type="dxa"/>
            <w:gridSpan w:val="14"/>
            <w:tcBorders>
              <w:top w:val="single" w:sz="8" w:space="0" w:color="auto"/>
              <w:left w:val="nil"/>
              <w:bottom w:val="nil"/>
              <w:right w:val="nil"/>
            </w:tcBorders>
            <w:shd w:val="clear" w:color="auto" w:fill="2F5496" w:themeFill="accent1" w:themeFillShade="BF"/>
            <w:noWrap/>
            <w:vAlign w:val="bottom"/>
            <w:hideMark/>
          </w:tcPr>
          <w:p w14:paraId="1A752888" w14:textId="77777777" w:rsidR="00684768" w:rsidRPr="00063D2B" w:rsidRDefault="00684768" w:rsidP="005E5068">
            <w:pPr>
              <w:spacing w:after="0" w:line="240" w:lineRule="auto"/>
              <w:jc w:val="center"/>
              <w:rPr>
                <w:rFonts w:eastAsia="Times New Roman" w:cstheme="minorHAnsi"/>
                <w:b/>
                <w:bCs/>
                <w:color w:val="FFFFFF" w:themeColor="background1"/>
                <w:sz w:val="20"/>
                <w:szCs w:val="20"/>
                <w:lang w:eastAsia="it-IT"/>
              </w:rPr>
            </w:pPr>
            <w:proofErr w:type="spellStart"/>
            <w:r w:rsidRPr="00063D2B">
              <w:rPr>
                <w:rFonts w:eastAsia="Times New Roman" w:cstheme="minorHAnsi"/>
                <w:b/>
                <w:bCs/>
                <w:color w:val="FFFFFF" w:themeColor="background1"/>
                <w:sz w:val="20"/>
                <w:szCs w:val="20"/>
                <w:lang w:eastAsia="it-IT"/>
              </w:rPr>
              <w:t>Tab</w:t>
            </w:r>
            <w:proofErr w:type="spellEnd"/>
            <w:r w:rsidRPr="00063D2B">
              <w:rPr>
                <w:rFonts w:eastAsia="Times New Roman" w:cstheme="minorHAnsi"/>
                <w:b/>
                <w:bCs/>
                <w:color w:val="FFFFFF" w:themeColor="background1"/>
                <w:sz w:val="20"/>
                <w:szCs w:val="20"/>
                <w:lang w:eastAsia="it-IT"/>
              </w:rPr>
              <w:t>. 3 - L’offerta di credito alle imprese per settore di attività economica</w:t>
            </w:r>
            <w:r w:rsidRPr="00063D2B">
              <w:rPr>
                <w:rFonts w:eastAsia="Times New Roman" w:cstheme="minorHAnsi"/>
                <w:color w:val="FFFFFF" w:themeColor="background1"/>
                <w:sz w:val="20"/>
                <w:szCs w:val="20"/>
                <w:lang w:eastAsia="it-IT"/>
              </w:rPr>
              <w:t xml:space="preserve"> (1)</w:t>
            </w:r>
          </w:p>
        </w:tc>
      </w:tr>
      <w:tr w:rsidR="00684768" w:rsidRPr="00063D2B" w14:paraId="1CE909D0" w14:textId="77777777" w:rsidTr="005E5068">
        <w:trPr>
          <w:trHeight w:val="276"/>
        </w:trPr>
        <w:tc>
          <w:tcPr>
            <w:tcW w:w="9639" w:type="dxa"/>
            <w:gridSpan w:val="14"/>
            <w:tcBorders>
              <w:top w:val="nil"/>
              <w:left w:val="nil"/>
              <w:bottom w:val="single" w:sz="4" w:space="0" w:color="auto"/>
              <w:right w:val="nil"/>
            </w:tcBorders>
            <w:shd w:val="clear" w:color="auto" w:fill="2F5496" w:themeFill="accent1" w:themeFillShade="BF"/>
            <w:noWrap/>
            <w:hideMark/>
          </w:tcPr>
          <w:p w14:paraId="7D61683E" w14:textId="77777777" w:rsidR="00684768" w:rsidRPr="00063D2B" w:rsidRDefault="00684768" w:rsidP="005E5068">
            <w:pPr>
              <w:spacing w:after="0" w:line="240" w:lineRule="auto"/>
              <w:jc w:val="center"/>
              <w:rPr>
                <w:rFonts w:eastAsia="Times New Roman" w:cstheme="minorHAnsi"/>
                <w:i/>
                <w:iCs/>
                <w:color w:val="FFFFFF" w:themeColor="background1"/>
                <w:sz w:val="18"/>
                <w:szCs w:val="18"/>
                <w:lang w:eastAsia="it-IT"/>
              </w:rPr>
            </w:pPr>
            <w:r w:rsidRPr="00063D2B">
              <w:rPr>
                <w:rFonts w:eastAsia="Times New Roman" w:cstheme="minorHAnsi"/>
                <w:i/>
                <w:iCs/>
                <w:color w:val="FFFFFF" w:themeColor="background1"/>
                <w:sz w:val="18"/>
                <w:szCs w:val="18"/>
                <w:lang w:eastAsia="it-IT"/>
              </w:rPr>
              <w:t>(indici di diffusione; irrigidimento (+) / allentamento (–) delle condizioni praticate alle imprese)</w:t>
            </w:r>
          </w:p>
        </w:tc>
      </w:tr>
      <w:tr w:rsidR="00684768" w:rsidRPr="00063D2B" w14:paraId="081013EC" w14:textId="77777777" w:rsidTr="005E5068">
        <w:trPr>
          <w:trHeight w:val="288"/>
        </w:trPr>
        <w:tc>
          <w:tcPr>
            <w:tcW w:w="701" w:type="dxa"/>
            <w:tcBorders>
              <w:top w:val="single" w:sz="4" w:space="0" w:color="auto"/>
              <w:left w:val="nil"/>
              <w:bottom w:val="single" w:sz="4" w:space="0" w:color="auto"/>
            </w:tcBorders>
            <w:shd w:val="clear" w:color="000000" w:fill="FFFFFF"/>
            <w:noWrap/>
            <w:vAlign w:val="bottom"/>
          </w:tcPr>
          <w:p w14:paraId="332A2AA2" w14:textId="77777777" w:rsidR="00684768" w:rsidRPr="00063D2B" w:rsidRDefault="00684768" w:rsidP="005E5068">
            <w:pPr>
              <w:spacing w:after="0" w:line="240" w:lineRule="auto"/>
              <w:rPr>
                <w:rFonts w:eastAsia="Times New Roman" w:cstheme="minorHAnsi"/>
                <w:b/>
                <w:bCs/>
                <w:color w:val="000000"/>
                <w:sz w:val="20"/>
                <w:szCs w:val="20"/>
                <w:lang w:eastAsia="it-IT"/>
              </w:rPr>
            </w:pPr>
          </w:p>
        </w:tc>
        <w:tc>
          <w:tcPr>
            <w:tcW w:w="292" w:type="dxa"/>
            <w:tcBorders>
              <w:top w:val="single" w:sz="4" w:space="0" w:color="auto"/>
              <w:bottom w:val="single" w:sz="4" w:space="0" w:color="auto"/>
            </w:tcBorders>
            <w:shd w:val="clear" w:color="000000" w:fill="FFFFFF"/>
            <w:noWrap/>
            <w:vAlign w:val="bottom"/>
          </w:tcPr>
          <w:p w14:paraId="73B259EC" w14:textId="77777777" w:rsidR="00684768" w:rsidRPr="00063D2B" w:rsidRDefault="00684768" w:rsidP="005E5068">
            <w:pPr>
              <w:spacing w:after="0" w:line="240" w:lineRule="auto"/>
              <w:rPr>
                <w:rFonts w:eastAsia="Times New Roman" w:cstheme="minorHAnsi"/>
                <w:b/>
                <w:bCs/>
                <w:color w:val="000000"/>
                <w:sz w:val="20"/>
                <w:szCs w:val="20"/>
                <w:lang w:eastAsia="it-IT"/>
              </w:rPr>
            </w:pPr>
          </w:p>
        </w:tc>
        <w:tc>
          <w:tcPr>
            <w:tcW w:w="2976" w:type="dxa"/>
            <w:gridSpan w:val="4"/>
            <w:tcBorders>
              <w:top w:val="single" w:sz="4" w:space="0" w:color="auto"/>
              <w:bottom w:val="single" w:sz="4" w:space="0" w:color="auto"/>
            </w:tcBorders>
            <w:shd w:val="clear" w:color="000000" w:fill="FFFFFF"/>
            <w:vAlign w:val="center"/>
            <w:hideMark/>
          </w:tcPr>
          <w:p w14:paraId="1C30A11B" w14:textId="77777777" w:rsidR="00684768" w:rsidRPr="00063D2B" w:rsidRDefault="00684768" w:rsidP="005E5068">
            <w:pPr>
              <w:spacing w:after="0" w:line="240" w:lineRule="auto"/>
              <w:jc w:val="center"/>
              <w:rPr>
                <w:rFonts w:eastAsia="Times New Roman" w:cstheme="minorHAnsi"/>
                <w:b/>
                <w:bCs/>
                <w:sz w:val="20"/>
                <w:szCs w:val="20"/>
                <w:lang w:eastAsia="it-IT"/>
              </w:rPr>
            </w:pPr>
            <w:r w:rsidRPr="00063D2B">
              <w:rPr>
                <w:rFonts w:eastAsia="Times New Roman" w:cstheme="minorHAnsi"/>
                <w:b/>
                <w:bCs/>
                <w:sz w:val="20"/>
                <w:szCs w:val="20"/>
                <w:lang w:eastAsia="it-IT"/>
              </w:rPr>
              <w:t>Industria manifatturiera</w:t>
            </w:r>
          </w:p>
        </w:tc>
        <w:tc>
          <w:tcPr>
            <w:tcW w:w="2835" w:type="dxa"/>
            <w:gridSpan w:val="4"/>
            <w:tcBorders>
              <w:top w:val="single" w:sz="4" w:space="0" w:color="auto"/>
              <w:bottom w:val="single" w:sz="4" w:space="0" w:color="auto"/>
            </w:tcBorders>
            <w:shd w:val="clear" w:color="000000" w:fill="FFFFFF"/>
            <w:vAlign w:val="center"/>
            <w:hideMark/>
          </w:tcPr>
          <w:p w14:paraId="10A151B8" w14:textId="77777777" w:rsidR="00684768" w:rsidRPr="00063D2B" w:rsidRDefault="00684768" w:rsidP="005E5068">
            <w:pPr>
              <w:spacing w:after="0" w:line="240" w:lineRule="auto"/>
              <w:jc w:val="center"/>
              <w:rPr>
                <w:rFonts w:eastAsia="Times New Roman" w:cstheme="minorHAnsi"/>
                <w:b/>
                <w:bCs/>
                <w:sz w:val="20"/>
                <w:szCs w:val="20"/>
                <w:lang w:eastAsia="it-IT"/>
              </w:rPr>
            </w:pPr>
            <w:r w:rsidRPr="00063D2B">
              <w:rPr>
                <w:rFonts w:eastAsia="Times New Roman" w:cstheme="minorHAnsi"/>
                <w:b/>
                <w:bCs/>
                <w:sz w:val="20"/>
                <w:szCs w:val="20"/>
                <w:lang w:eastAsia="it-IT"/>
              </w:rPr>
              <w:t>Costruzioni</w:t>
            </w:r>
          </w:p>
        </w:tc>
        <w:tc>
          <w:tcPr>
            <w:tcW w:w="2835" w:type="dxa"/>
            <w:gridSpan w:val="4"/>
            <w:tcBorders>
              <w:top w:val="single" w:sz="4" w:space="0" w:color="auto"/>
              <w:bottom w:val="single" w:sz="4" w:space="0" w:color="auto"/>
              <w:right w:val="nil"/>
            </w:tcBorders>
            <w:shd w:val="clear" w:color="000000" w:fill="FFFFFF"/>
            <w:vAlign w:val="center"/>
            <w:hideMark/>
          </w:tcPr>
          <w:p w14:paraId="17C8A935" w14:textId="77777777" w:rsidR="00684768" w:rsidRPr="00063D2B" w:rsidRDefault="00684768" w:rsidP="005E5068">
            <w:pPr>
              <w:spacing w:after="0" w:line="240" w:lineRule="auto"/>
              <w:jc w:val="center"/>
              <w:rPr>
                <w:rFonts w:eastAsia="Times New Roman" w:cstheme="minorHAnsi"/>
                <w:b/>
                <w:bCs/>
                <w:sz w:val="20"/>
                <w:szCs w:val="20"/>
                <w:lang w:eastAsia="it-IT"/>
              </w:rPr>
            </w:pPr>
            <w:r w:rsidRPr="00063D2B">
              <w:rPr>
                <w:rFonts w:eastAsia="Times New Roman" w:cstheme="minorHAnsi"/>
                <w:b/>
                <w:bCs/>
                <w:sz w:val="20"/>
                <w:szCs w:val="20"/>
                <w:lang w:eastAsia="it-IT"/>
              </w:rPr>
              <w:t>Servizi</w:t>
            </w:r>
          </w:p>
        </w:tc>
      </w:tr>
      <w:tr w:rsidR="00684768" w:rsidRPr="00063D2B" w14:paraId="0962CFC8" w14:textId="77777777" w:rsidTr="005E5068">
        <w:trPr>
          <w:trHeight w:val="288"/>
        </w:trPr>
        <w:tc>
          <w:tcPr>
            <w:tcW w:w="701" w:type="dxa"/>
            <w:tcBorders>
              <w:top w:val="single" w:sz="4" w:space="0" w:color="auto"/>
              <w:left w:val="nil"/>
              <w:bottom w:val="single" w:sz="4" w:space="0" w:color="auto"/>
            </w:tcBorders>
            <w:shd w:val="clear" w:color="000000" w:fill="FFFFFF"/>
            <w:noWrap/>
            <w:vAlign w:val="bottom"/>
          </w:tcPr>
          <w:p w14:paraId="6BD90B04"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292" w:type="dxa"/>
            <w:tcBorders>
              <w:top w:val="single" w:sz="4" w:space="0" w:color="auto"/>
              <w:bottom w:val="single" w:sz="4" w:space="0" w:color="auto"/>
            </w:tcBorders>
            <w:shd w:val="clear" w:color="000000" w:fill="FFFFFF"/>
            <w:noWrap/>
            <w:vAlign w:val="bottom"/>
          </w:tcPr>
          <w:p w14:paraId="008880D5" w14:textId="77777777" w:rsidR="00684768" w:rsidRPr="00063D2B" w:rsidRDefault="00684768" w:rsidP="005E5068">
            <w:pPr>
              <w:spacing w:after="0" w:line="240" w:lineRule="auto"/>
              <w:rPr>
                <w:rFonts w:eastAsia="Times New Roman" w:cstheme="minorHAnsi"/>
                <w:color w:val="000000"/>
                <w:sz w:val="20"/>
                <w:szCs w:val="20"/>
                <w:lang w:eastAsia="it-IT"/>
              </w:rPr>
            </w:pPr>
          </w:p>
        </w:tc>
        <w:tc>
          <w:tcPr>
            <w:tcW w:w="850" w:type="dxa"/>
            <w:tcBorders>
              <w:top w:val="single" w:sz="4" w:space="0" w:color="auto"/>
              <w:bottom w:val="single" w:sz="4" w:space="0" w:color="auto"/>
            </w:tcBorders>
            <w:shd w:val="clear" w:color="000000" w:fill="FFFFFF"/>
            <w:vAlign w:val="center"/>
            <w:hideMark/>
          </w:tcPr>
          <w:p w14:paraId="0FC31FE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Ovest</w:t>
            </w:r>
          </w:p>
        </w:tc>
        <w:tc>
          <w:tcPr>
            <w:tcW w:w="709" w:type="dxa"/>
            <w:tcBorders>
              <w:top w:val="single" w:sz="4" w:space="0" w:color="auto"/>
              <w:bottom w:val="single" w:sz="4" w:space="0" w:color="auto"/>
            </w:tcBorders>
            <w:shd w:val="clear" w:color="000000" w:fill="FFFFFF"/>
            <w:vAlign w:val="center"/>
            <w:hideMark/>
          </w:tcPr>
          <w:p w14:paraId="4BABC76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Est</w:t>
            </w:r>
          </w:p>
        </w:tc>
        <w:tc>
          <w:tcPr>
            <w:tcW w:w="709" w:type="dxa"/>
            <w:tcBorders>
              <w:top w:val="single" w:sz="4" w:space="0" w:color="auto"/>
              <w:bottom w:val="single" w:sz="4" w:space="0" w:color="auto"/>
            </w:tcBorders>
            <w:shd w:val="clear" w:color="auto" w:fill="D5DCE4" w:themeFill="text2" w:themeFillTint="33"/>
            <w:vAlign w:val="center"/>
            <w:hideMark/>
          </w:tcPr>
          <w:p w14:paraId="180E4BC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Centro</w:t>
            </w:r>
          </w:p>
        </w:tc>
        <w:tc>
          <w:tcPr>
            <w:tcW w:w="708" w:type="dxa"/>
            <w:tcBorders>
              <w:top w:val="single" w:sz="4" w:space="0" w:color="auto"/>
              <w:bottom w:val="single" w:sz="4" w:space="0" w:color="auto"/>
            </w:tcBorders>
            <w:shd w:val="clear" w:color="000000" w:fill="FFFFFF"/>
            <w:vAlign w:val="center"/>
            <w:hideMark/>
          </w:tcPr>
          <w:p w14:paraId="777E8CE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Sud-Isole</w:t>
            </w:r>
          </w:p>
        </w:tc>
        <w:tc>
          <w:tcPr>
            <w:tcW w:w="709" w:type="dxa"/>
            <w:tcBorders>
              <w:top w:val="single" w:sz="4" w:space="0" w:color="auto"/>
              <w:bottom w:val="single" w:sz="4" w:space="0" w:color="auto"/>
            </w:tcBorders>
            <w:shd w:val="clear" w:color="000000" w:fill="FFFFFF"/>
            <w:vAlign w:val="center"/>
            <w:hideMark/>
          </w:tcPr>
          <w:p w14:paraId="4CF051C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Ovest</w:t>
            </w:r>
          </w:p>
        </w:tc>
        <w:tc>
          <w:tcPr>
            <w:tcW w:w="709" w:type="dxa"/>
            <w:tcBorders>
              <w:top w:val="single" w:sz="4" w:space="0" w:color="auto"/>
              <w:bottom w:val="single" w:sz="4" w:space="0" w:color="auto"/>
            </w:tcBorders>
            <w:shd w:val="clear" w:color="000000" w:fill="FFFFFF"/>
            <w:vAlign w:val="center"/>
            <w:hideMark/>
          </w:tcPr>
          <w:p w14:paraId="3A7F4E9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Est</w:t>
            </w:r>
          </w:p>
        </w:tc>
        <w:tc>
          <w:tcPr>
            <w:tcW w:w="709" w:type="dxa"/>
            <w:tcBorders>
              <w:top w:val="single" w:sz="4" w:space="0" w:color="auto"/>
              <w:bottom w:val="single" w:sz="4" w:space="0" w:color="auto"/>
            </w:tcBorders>
            <w:shd w:val="clear" w:color="auto" w:fill="D5DCE4" w:themeFill="text2" w:themeFillTint="33"/>
            <w:vAlign w:val="center"/>
            <w:hideMark/>
          </w:tcPr>
          <w:p w14:paraId="40F6A8E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Centro</w:t>
            </w:r>
          </w:p>
        </w:tc>
        <w:tc>
          <w:tcPr>
            <w:tcW w:w="708" w:type="dxa"/>
            <w:tcBorders>
              <w:top w:val="single" w:sz="4" w:space="0" w:color="auto"/>
              <w:bottom w:val="single" w:sz="4" w:space="0" w:color="auto"/>
            </w:tcBorders>
            <w:shd w:val="clear" w:color="000000" w:fill="FFFFFF"/>
            <w:vAlign w:val="center"/>
            <w:hideMark/>
          </w:tcPr>
          <w:p w14:paraId="51BAB30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Sud-Isole</w:t>
            </w:r>
          </w:p>
        </w:tc>
        <w:tc>
          <w:tcPr>
            <w:tcW w:w="709" w:type="dxa"/>
            <w:tcBorders>
              <w:top w:val="single" w:sz="4" w:space="0" w:color="auto"/>
              <w:bottom w:val="single" w:sz="4" w:space="0" w:color="auto"/>
            </w:tcBorders>
            <w:shd w:val="clear" w:color="000000" w:fill="FFFFFF"/>
            <w:vAlign w:val="center"/>
            <w:hideMark/>
          </w:tcPr>
          <w:p w14:paraId="02722EB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Ovest</w:t>
            </w:r>
          </w:p>
        </w:tc>
        <w:tc>
          <w:tcPr>
            <w:tcW w:w="709" w:type="dxa"/>
            <w:tcBorders>
              <w:top w:val="single" w:sz="4" w:space="0" w:color="auto"/>
              <w:bottom w:val="single" w:sz="4" w:space="0" w:color="auto"/>
            </w:tcBorders>
            <w:shd w:val="clear" w:color="000000" w:fill="FFFFFF"/>
            <w:vAlign w:val="center"/>
            <w:hideMark/>
          </w:tcPr>
          <w:p w14:paraId="7176036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Nord Est</w:t>
            </w:r>
          </w:p>
        </w:tc>
        <w:tc>
          <w:tcPr>
            <w:tcW w:w="694" w:type="dxa"/>
            <w:tcBorders>
              <w:top w:val="single" w:sz="4" w:space="0" w:color="auto"/>
              <w:bottom w:val="single" w:sz="4" w:space="0" w:color="auto"/>
            </w:tcBorders>
            <w:shd w:val="clear" w:color="auto" w:fill="D5DCE4" w:themeFill="text2" w:themeFillTint="33"/>
            <w:vAlign w:val="center"/>
            <w:hideMark/>
          </w:tcPr>
          <w:p w14:paraId="576D951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Centro</w:t>
            </w:r>
          </w:p>
        </w:tc>
        <w:tc>
          <w:tcPr>
            <w:tcW w:w="723" w:type="dxa"/>
            <w:tcBorders>
              <w:top w:val="single" w:sz="4" w:space="0" w:color="auto"/>
              <w:bottom w:val="single" w:sz="4" w:space="0" w:color="auto"/>
              <w:right w:val="nil"/>
            </w:tcBorders>
            <w:shd w:val="clear" w:color="000000" w:fill="FFFFFF"/>
            <w:vAlign w:val="center"/>
            <w:hideMark/>
          </w:tcPr>
          <w:p w14:paraId="21FD318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Sud-Isole</w:t>
            </w:r>
          </w:p>
        </w:tc>
      </w:tr>
      <w:tr w:rsidR="00684768" w:rsidRPr="00063D2B" w14:paraId="1F759941" w14:textId="77777777" w:rsidTr="005E5068">
        <w:trPr>
          <w:trHeight w:val="300"/>
        </w:trPr>
        <w:tc>
          <w:tcPr>
            <w:tcW w:w="701" w:type="dxa"/>
            <w:vMerge w:val="restart"/>
            <w:tcBorders>
              <w:top w:val="single" w:sz="4" w:space="0" w:color="auto"/>
              <w:left w:val="nil"/>
            </w:tcBorders>
            <w:shd w:val="clear" w:color="000000" w:fill="FFFFFF"/>
            <w:noWrap/>
            <w:vAlign w:val="center"/>
            <w:hideMark/>
          </w:tcPr>
          <w:p w14:paraId="2EC9F22A"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2020</w:t>
            </w:r>
          </w:p>
        </w:tc>
        <w:tc>
          <w:tcPr>
            <w:tcW w:w="292" w:type="dxa"/>
            <w:tcBorders>
              <w:top w:val="single" w:sz="4" w:space="0" w:color="auto"/>
              <w:bottom w:val="nil"/>
            </w:tcBorders>
            <w:shd w:val="clear" w:color="000000" w:fill="FFFFFF"/>
            <w:noWrap/>
            <w:vAlign w:val="bottom"/>
            <w:hideMark/>
          </w:tcPr>
          <w:p w14:paraId="145C0C2D"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850" w:type="dxa"/>
            <w:tcBorders>
              <w:top w:val="single" w:sz="4" w:space="0" w:color="auto"/>
              <w:bottom w:val="nil"/>
            </w:tcBorders>
            <w:shd w:val="clear" w:color="000000" w:fill="FFFFFF"/>
            <w:noWrap/>
            <w:vAlign w:val="bottom"/>
            <w:hideMark/>
          </w:tcPr>
          <w:p w14:paraId="2A4BE8C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-0,098</w:t>
            </w:r>
          </w:p>
        </w:tc>
        <w:tc>
          <w:tcPr>
            <w:tcW w:w="709" w:type="dxa"/>
            <w:tcBorders>
              <w:top w:val="single" w:sz="4" w:space="0" w:color="auto"/>
              <w:bottom w:val="nil"/>
            </w:tcBorders>
            <w:shd w:val="clear" w:color="000000" w:fill="FFFFFF"/>
            <w:noWrap/>
            <w:vAlign w:val="bottom"/>
            <w:hideMark/>
          </w:tcPr>
          <w:p w14:paraId="3D2EBAC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-0,138</w:t>
            </w:r>
          </w:p>
        </w:tc>
        <w:tc>
          <w:tcPr>
            <w:tcW w:w="709" w:type="dxa"/>
            <w:tcBorders>
              <w:top w:val="single" w:sz="4" w:space="0" w:color="auto"/>
              <w:bottom w:val="nil"/>
            </w:tcBorders>
            <w:shd w:val="clear" w:color="auto" w:fill="D5DCE4" w:themeFill="text2" w:themeFillTint="33"/>
            <w:noWrap/>
            <w:vAlign w:val="bottom"/>
            <w:hideMark/>
          </w:tcPr>
          <w:p w14:paraId="44BFD72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-0,120</w:t>
            </w:r>
          </w:p>
        </w:tc>
        <w:tc>
          <w:tcPr>
            <w:tcW w:w="708" w:type="dxa"/>
            <w:tcBorders>
              <w:top w:val="single" w:sz="4" w:space="0" w:color="auto"/>
              <w:bottom w:val="nil"/>
            </w:tcBorders>
            <w:shd w:val="clear" w:color="000000" w:fill="FFFFFF"/>
            <w:noWrap/>
            <w:vAlign w:val="bottom"/>
            <w:hideMark/>
          </w:tcPr>
          <w:p w14:paraId="0EAEE1B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-0,162</w:t>
            </w:r>
          </w:p>
        </w:tc>
        <w:tc>
          <w:tcPr>
            <w:tcW w:w="709" w:type="dxa"/>
            <w:tcBorders>
              <w:top w:val="single" w:sz="4" w:space="0" w:color="auto"/>
              <w:bottom w:val="nil"/>
            </w:tcBorders>
            <w:shd w:val="clear" w:color="000000" w:fill="FFFFFF"/>
            <w:noWrap/>
            <w:vAlign w:val="center"/>
            <w:hideMark/>
          </w:tcPr>
          <w:p w14:paraId="661619C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-0,083</w:t>
            </w:r>
          </w:p>
        </w:tc>
        <w:tc>
          <w:tcPr>
            <w:tcW w:w="709" w:type="dxa"/>
            <w:tcBorders>
              <w:top w:val="single" w:sz="4" w:space="0" w:color="auto"/>
              <w:bottom w:val="nil"/>
            </w:tcBorders>
            <w:shd w:val="clear" w:color="000000" w:fill="FFFFFF"/>
            <w:noWrap/>
            <w:vAlign w:val="center"/>
            <w:hideMark/>
          </w:tcPr>
          <w:p w14:paraId="78E88BA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-0,106</w:t>
            </w:r>
          </w:p>
        </w:tc>
        <w:tc>
          <w:tcPr>
            <w:tcW w:w="709" w:type="dxa"/>
            <w:tcBorders>
              <w:top w:val="single" w:sz="4" w:space="0" w:color="auto"/>
              <w:bottom w:val="nil"/>
            </w:tcBorders>
            <w:shd w:val="clear" w:color="auto" w:fill="D5DCE4" w:themeFill="text2" w:themeFillTint="33"/>
            <w:noWrap/>
            <w:vAlign w:val="center"/>
            <w:hideMark/>
          </w:tcPr>
          <w:p w14:paraId="0C42C97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-0,090</w:t>
            </w:r>
          </w:p>
        </w:tc>
        <w:tc>
          <w:tcPr>
            <w:tcW w:w="708" w:type="dxa"/>
            <w:tcBorders>
              <w:top w:val="single" w:sz="4" w:space="0" w:color="auto"/>
              <w:bottom w:val="nil"/>
            </w:tcBorders>
            <w:shd w:val="clear" w:color="000000" w:fill="FFFFFF"/>
            <w:noWrap/>
            <w:vAlign w:val="center"/>
            <w:hideMark/>
          </w:tcPr>
          <w:p w14:paraId="7937591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-0,145</w:t>
            </w:r>
          </w:p>
        </w:tc>
        <w:tc>
          <w:tcPr>
            <w:tcW w:w="709" w:type="dxa"/>
            <w:tcBorders>
              <w:top w:val="single" w:sz="4" w:space="0" w:color="auto"/>
              <w:bottom w:val="nil"/>
            </w:tcBorders>
            <w:shd w:val="clear" w:color="000000" w:fill="FFFFFF"/>
            <w:noWrap/>
            <w:vAlign w:val="center"/>
            <w:hideMark/>
          </w:tcPr>
          <w:p w14:paraId="5B62453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-0,093</w:t>
            </w:r>
          </w:p>
        </w:tc>
        <w:tc>
          <w:tcPr>
            <w:tcW w:w="709" w:type="dxa"/>
            <w:tcBorders>
              <w:top w:val="single" w:sz="4" w:space="0" w:color="auto"/>
              <w:bottom w:val="nil"/>
            </w:tcBorders>
            <w:shd w:val="clear" w:color="000000" w:fill="FFFFFF"/>
            <w:noWrap/>
            <w:vAlign w:val="center"/>
            <w:hideMark/>
          </w:tcPr>
          <w:p w14:paraId="640611B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-0,139</w:t>
            </w:r>
          </w:p>
        </w:tc>
        <w:tc>
          <w:tcPr>
            <w:tcW w:w="694" w:type="dxa"/>
            <w:tcBorders>
              <w:top w:val="single" w:sz="4" w:space="0" w:color="auto"/>
              <w:bottom w:val="nil"/>
            </w:tcBorders>
            <w:shd w:val="clear" w:color="auto" w:fill="D5DCE4" w:themeFill="text2" w:themeFillTint="33"/>
            <w:noWrap/>
            <w:vAlign w:val="center"/>
            <w:hideMark/>
          </w:tcPr>
          <w:p w14:paraId="57E379C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-0,124</w:t>
            </w:r>
          </w:p>
        </w:tc>
        <w:tc>
          <w:tcPr>
            <w:tcW w:w="723" w:type="dxa"/>
            <w:tcBorders>
              <w:top w:val="single" w:sz="4" w:space="0" w:color="auto"/>
              <w:bottom w:val="nil"/>
              <w:right w:val="nil"/>
            </w:tcBorders>
            <w:shd w:val="clear" w:color="000000" w:fill="FFFFFF"/>
            <w:noWrap/>
            <w:vAlign w:val="bottom"/>
            <w:hideMark/>
          </w:tcPr>
          <w:p w14:paraId="4CC43D6F"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-0,161</w:t>
            </w:r>
          </w:p>
        </w:tc>
      </w:tr>
      <w:tr w:rsidR="00684768" w:rsidRPr="00063D2B" w14:paraId="55AE657A" w14:textId="77777777" w:rsidTr="005E5068">
        <w:trPr>
          <w:trHeight w:val="300"/>
        </w:trPr>
        <w:tc>
          <w:tcPr>
            <w:tcW w:w="701" w:type="dxa"/>
            <w:vMerge/>
            <w:tcBorders>
              <w:left w:val="nil"/>
              <w:bottom w:val="nil"/>
            </w:tcBorders>
            <w:shd w:val="clear" w:color="000000" w:fill="FFFFFF"/>
            <w:noWrap/>
            <w:vAlign w:val="center"/>
            <w:hideMark/>
          </w:tcPr>
          <w:p w14:paraId="7D85027D" w14:textId="77777777" w:rsidR="00684768" w:rsidRPr="00063D2B" w:rsidRDefault="00684768" w:rsidP="005E5068">
            <w:pPr>
              <w:spacing w:after="0" w:line="240" w:lineRule="auto"/>
              <w:rPr>
                <w:rFonts w:eastAsia="Times New Roman" w:cstheme="minorHAnsi"/>
                <w:sz w:val="20"/>
                <w:szCs w:val="20"/>
                <w:lang w:eastAsia="it-IT"/>
              </w:rPr>
            </w:pPr>
          </w:p>
        </w:tc>
        <w:tc>
          <w:tcPr>
            <w:tcW w:w="292" w:type="dxa"/>
            <w:tcBorders>
              <w:top w:val="nil"/>
              <w:bottom w:val="nil"/>
            </w:tcBorders>
            <w:shd w:val="clear" w:color="000000" w:fill="FFFFFF"/>
            <w:noWrap/>
            <w:vAlign w:val="bottom"/>
            <w:hideMark/>
          </w:tcPr>
          <w:p w14:paraId="72BD783B"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850" w:type="dxa"/>
            <w:tcBorders>
              <w:top w:val="nil"/>
              <w:bottom w:val="nil"/>
            </w:tcBorders>
            <w:shd w:val="clear" w:color="000000" w:fill="FFFFFF"/>
            <w:noWrap/>
            <w:vAlign w:val="bottom"/>
            <w:hideMark/>
          </w:tcPr>
          <w:p w14:paraId="69BA755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-0,183</w:t>
            </w:r>
          </w:p>
        </w:tc>
        <w:tc>
          <w:tcPr>
            <w:tcW w:w="709" w:type="dxa"/>
            <w:tcBorders>
              <w:top w:val="nil"/>
              <w:bottom w:val="nil"/>
            </w:tcBorders>
            <w:shd w:val="clear" w:color="000000" w:fill="FFFFFF"/>
            <w:noWrap/>
            <w:vAlign w:val="bottom"/>
            <w:hideMark/>
          </w:tcPr>
          <w:p w14:paraId="3134082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-0,078</w:t>
            </w:r>
          </w:p>
        </w:tc>
        <w:tc>
          <w:tcPr>
            <w:tcW w:w="709" w:type="dxa"/>
            <w:tcBorders>
              <w:top w:val="nil"/>
              <w:bottom w:val="nil"/>
            </w:tcBorders>
            <w:shd w:val="clear" w:color="auto" w:fill="D5DCE4" w:themeFill="text2" w:themeFillTint="33"/>
            <w:noWrap/>
            <w:vAlign w:val="bottom"/>
            <w:hideMark/>
          </w:tcPr>
          <w:p w14:paraId="3428DA6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-0,155</w:t>
            </w:r>
          </w:p>
        </w:tc>
        <w:tc>
          <w:tcPr>
            <w:tcW w:w="708" w:type="dxa"/>
            <w:tcBorders>
              <w:top w:val="nil"/>
              <w:bottom w:val="nil"/>
            </w:tcBorders>
            <w:shd w:val="clear" w:color="000000" w:fill="FFFFFF"/>
            <w:noWrap/>
            <w:vAlign w:val="bottom"/>
            <w:hideMark/>
          </w:tcPr>
          <w:p w14:paraId="1E4FFB1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-0,135</w:t>
            </w:r>
          </w:p>
        </w:tc>
        <w:tc>
          <w:tcPr>
            <w:tcW w:w="709" w:type="dxa"/>
            <w:tcBorders>
              <w:top w:val="nil"/>
              <w:bottom w:val="nil"/>
            </w:tcBorders>
            <w:shd w:val="clear" w:color="000000" w:fill="FFFFFF"/>
            <w:noWrap/>
            <w:vAlign w:val="center"/>
            <w:hideMark/>
          </w:tcPr>
          <w:p w14:paraId="7D60480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-0,167</w:t>
            </w:r>
          </w:p>
        </w:tc>
        <w:tc>
          <w:tcPr>
            <w:tcW w:w="709" w:type="dxa"/>
            <w:tcBorders>
              <w:top w:val="nil"/>
              <w:bottom w:val="nil"/>
            </w:tcBorders>
            <w:shd w:val="clear" w:color="000000" w:fill="FFFFFF"/>
            <w:noWrap/>
            <w:vAlign w:val="center"/>
            <w:hideMark/>
          </w:tcPr>
          <w:p w14:paraId="71B7B72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-0,059</w:t>
            </w:r>
          </w:p>
        </w:tc>
        <w:tc>
          <w:tcPr>
            <w:tcW w:w="709" w:type="dxa"/>
            <w:tcBorders>
              <w:top w:val="nil"/>
              <w:bottom w:val="nil"/>
            </w:tcBorders>
            <w:shd w:val="clear" w:color="auto" w:fill="D5DCE4" w:themeFill="text2" w:themeFillTint="33"/>
            <w:noWrap/>
            <w:vAlign w:val="center"/>
            <w:hideMark/>
          </w:tcPr>
          <w:p w14:paraId="2FFAADE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-0,121</w:t>
            </w:r>
          </w:p>
        </w:tc>
        <w:tc>
          <w:tcPr>
            <w:tcW w:w="708" w:type="dxa"/>
            <w:tcBorders>
              <w:top w:val="nil"/>
              <w:bottom w:val="nil"/>
            </w:tcBorders>
            <w:shd w:val="clear" w:color="000000" w:fill="FFFFFF"/>
            <w:noWrap/>
            <w:vAlign w:val="center"/>
            <w:hideMark/>
          </w:tcPr>
          <w:p w14:paraId="3EED990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-0,133</w:t>
            </w:r>
          </w:p>
        </w:tc>
        <w:tc>
          <w:tcPr>
            <w:tcW w:w="709" w:type="dxa"/>
            <w:tcBorders>
              <w:top w:val="nil"/>
              <w:bottom w:val="nil"/>
            </w:tcBorders>
            <w:shd w:val="clear" w:color="000000" w:fill="FFFFFF"/>
            <w:noWrap/>
            <w:vAlign w:val="center"/>
            <w:hideMark/>
          </w:tcPr>
          <w:p w14:paraId="3C14B14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-0,179</w:t>
            </w:r>
          </w:p>
        </w:tc>
        <w:tc>
          <w:tcPr>
            <w:tcW w:w="709" w:type="dxa"/>
            <w:tcBorders>
              <w:top w:val="nil"/>
              <w:bottom w:val="nil"/>
            </w:tcBorders>
            <w:shd w:val="clear" w:color="000000" w:fill="FFFFFF"/>
            <w:noWrap/>
            <w:vAlign w:val="center"/>
            <w:hideMark/>
          </w:tcPr>
          <w:p w14:paraId="00E0F34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-0,077</w:t>
            </w:r>
          </w:p>
        </w:tc>
        <w:tc>
          <w:tcPr>
            <w:tcW w:w="694" w:type="dxa"/>
            <w:tcBorders>
              <w:top w:val="nil"/>
              <w:bottom w:val="nil"/>
            </w:tcBorders>
            <w:shd w:val="clear" w:color="auto" w:fill="D5DCE4" w:themeFill="text2" w:themeFillTint="33"/>
            <w:noWrap/>
            <w:vAlign w:val="center"/>
            <w:hideMark/>
          </w:tcPr>
          <w:p w14:paraId="50E22E35"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-0,139</w:t>
            </w:r>
          </w:p>
        </w:tc>
        <w:tc>
          <w:tcPr>
            <w:tcW w:w="723" w:type="dxa"/>
            <w:tcBorders>
              <w:top w:val="nil"/>
              <w:bottom w:val="nil"/>
              <w:right w:val="nil"/>
            </w:tcBorders>
            <w:shd w:val="clear" w:color="000000" w:fill="FFFFFF"/>
            <w:noWrap/>
            <w:vAlign w:val="bottom"/>
            <w:hideMark/>
          </w:tcPr>
          <w:p w14:paraId="1013764F"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-0,132</w:t>
            </w:r>
          </w:p>
        </w:tc>
      </w:tr>
      <w:tr w:rsidR="00684768" w:rsidRPr="00063D2B" w14:paraId="648BEFBB" w14:textId="77777777" w:rsidTr="005E5068">
        <w:trPr>
          <w:trHeight w:val="300"/>
        </w:trPr>
        <w:tc>
          <w:tcPr>
            <w:tcW w:w="701" w:type="dxa"/>
            <w:vMerge w:val="restart"/>
            <w:tcBorders>
              <w:top w:val="nil"/>
              <w:left w:val="nil"/>
            </w:tcBorders>
            <w:shd w:val="clear" w:color="000000" w:fill="FFFFFF"/>
            <w:noWrap/>
            <w:vAlign w:val="center"/>
            <w:hideMark/>
          </w:tcPr>
          <w:p w14:paraId="1E77DCAD"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2021</w:t>
            </w:r>
          </w:p>
        </w:tc>
        <w:tc>
          <w:tcPr>
            <w:tcW w:w="292" w:type="dxa"/>
            <w:tcBorders>
              <w:top w:val="nil"/>
              <w:bottom w:val="nil"/>
            </w:tcBorders>
            <w:shd w:val="clear" w:color="000000" w:fill="FFFFFF"/>
            <w:noWrap/>
            <w:vAlign w:val="bottom"/>
            <w:hideMark/>
          </w:tcPr>
          <w:p w14:paraId="7759AD24"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850" w:type="dxa"/>
            <w:tcBorders>
              <w:top w:val="nil"/>
              <w:bottom w:val="nil"/>
            </w:tcBorders>
            <w:shd w:val="clear" w:color="000000" w:fill="FFFFFF"/>
            <w:noWrap/>
            <w:vAlign w:val="bottom"/>
            <w:hideMark/>
          </w:tcPr>
          <w:p w14:paraId="4654252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0,010</w:t>
            </w:r>
          </w:p>
        </w:tc>
        <w:tc>
          <w:tcPr>
            <w:tcW w:w="709" w:type="dxa"/>
            <w:tcBorders>
              <w:top w:val="nil"/>
              <w:bottom w:val="nil"/>
            </w:tcBorders>
            <w:shd w:val="clear" w:color="000000" w:fill="FFFFFF"/>
            <w:noWrap/>
            <w:vAlign w:val="bottom"/>
            <w:hideMark/>
          </w:tcPr>
          <w:p w14:paraId="25232D2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0,011</w:t>
            </w:r>
          </w:p>
        </w:tc>
        <w:tc>
          <w:tcPr>
            <w:tcW w:w="709" w:type="dxa"/>
            <w:tcBorders>
              <w:top w:val="nil"/>
              <w:bottom w:val="nil"/>
            </w:tcBorders>
            <w:shd w:val="clear" w:color="auto" w:fill="D5DCE4" w:themeFill="text2" w:themeFillTint="33"/>
            <w:noWrap/>
            <w:vAlign w:val="bottom"/>
            <w:hideMark/>
          </w:tcPr>
          <w:p w14:paraId="51880A0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0,008</w:t>
            </w:r>
          </w:p>
        </w:tc>
        <w:tc>
          <w:tcPr>
            <w:tcW w:w="708" w:type="dxa"/>
            <w:tcBorders>
              <w:top w:val="nil"/>
              <w:bottom w:val="nil"/>
            </w:tcBorders>
            <w:shd w:val="clear" w:color="000000" w:fill="FFFFFF"/>
            <w:noWrap/>
            <w:vAlign w:val="bottom"/>
            <w:hideMark/>
          </w:tcPr>
          <w:p w14:paraId="6AF5BF1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0,004</w:t>
            </w:r>
          </w:p>
        </w:tc>
        <w:tc>
          <w:tcPr>
            <w:tcW w:w="709" w:type="dxa"/>
            <w:tcBorders>
              <w:top w:val="nil"/>
              <w:bottom w:val="nil"/>
            </w:tcBorders>
            <w:shd w:val="clear" w:color="000000" w:fill="FFFFFF"/>
            <w:noWrap/>
            <w:vAlign w:val="center"/>
            <w:hideMark/>
          </w:tcPr>
          <w:p w14:paraId="70B04AD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0,019</w:t>
            </w:r>
          </w:p>
        </w:tc>
        <w:tc>
          <w:tcPr>
            <w:tcW w:w="709" w:type="dxa"/>
            <w:tcBorders>
              <w:top w:val="nil"/>
              <w:bottom w:val="nil"/>
            </w:tcBorders>
            <w:shd w:val="clear" w:color="000000" w:fill="FFFFFF"/>
            <w:noWrap/>
            <w:vAlign w:val="center"/>
            <w:hideMark/>
          </w:tcPr>
          <w:p w14:paraId="3634F00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0,030</w:t>
            </w:r>
          </w:p>
        </w:tc>
        <w:tc>
          <w:tcPr>
            <w:tcW w:w="709" w:type="dxa"/>
            <w:tcBorders>
              <w:top w:val="nil"/>
              <w:bottom w:val="nil"/>
            </w:tcBorders>
            <w:shd w:val="clear" w:color="auto" w:fill="D5DCE4" w:themeFill="text2" w:themeFillTint="33"/>
            <w:noWrap/>
            <w:vAlign w:val="center"/>
            <w:hideMark/>
          </w:tcPr>
          <w:p w14:paraId="27E8299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0,031</w:t>
            </w:r>
          </w:p>
        </w:tc>
        <w:tc>
          <w:tcPr>
            <w:tcW w:w="708" w:type="dxa"/>
            <w:tcBorders>
              <w:top w:val="nil"/>
              <w:bottom w:val="nil"/>
            </w:tcBorders>
            <w:shd w:val="clear" w:color="000000" w:fill="FFFFFF"/>
            <w:noWrap/>
            <w:vAlign w:val="center"/>
            <w:hideMark/>
          </w:tcPr>
          <w:p w14:paraId="109117F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0,009</w:t>
            </w:r>
          </w:p>
        </w:tc>
        <w:tc>
          <w:tcPr>
            <w:tcW w:w="709" w:type="dxa"/>
            <w:tcBorders>
              <w:top w:val="nil"/>
              <w:bottom w:val="nil"/>
            </w:tcBorders>
            <w:shd w:val="clear" w:color="000000" w:fill="FFFFFF"/>
            <w:noWrap/>
            <w:vAlign w:val="center"/>
            <w:hideMark/>
          </w:tcPr>
          <w:p w14:paraId="2950635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0,011</w:t>
            </w:r>
          </w:p>
        </w:tc>
        <w:tc>
          <w:tcPr>
            <w:tcW w:w="709" w:type="dxa"/>
            <w:tcBorders>
              <w:top w:val="nil"/>
              <w:bottom w:val="nil"/>
            </w:tcBorders>
            <w:shd w:val="clear" w:color="000000" w:fill="FFFFFF"/>
            <w:noWrap/>
            <w:vAlign w:val="center"/>
            <w:hideMark/>
          </w:tcPr>
          <w:p w14:paraId="0BFF3AC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0,018</w:t>
            </w:r>
          </w:p>
        </w:tc>
        <w:tc>
          <w:tcPr>
            <w:tcW w:w="694" w:type="dxa"/>
            <w:tcBorders>
              <w:top w:val="nil"/>
              <w:bottom w:val="nil"/>
            </w:tcBorders>
            <w:shd w:val="clear" w:color="auto" w:fill="D5DCE4" w:themeFill="text2" w:themeFillTint="33"/>
            <w:noWrap/>
            <w:vAlign w:val="center"/>
            <w:hideMark/>
          </w:tcPr>
          <w:p w14:paraId="597E8CA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0,021</w:t>
            </w:r>
          </w:p>
        </w:tc>
        <w:tc>
          <w:tcPr>
            <w:tcW w:w="723" w:type="dxa"/>
            <w:tcBorders>
              <w:top w:val="nil"/>
              <w:bottom w:val="nil"/>
              <w:right w:val="nil"/>
            </w:tcBorders>
            <w:shd w:val="clear" w:color="000000" w:fill="FFFFFF"/>
            <w:noWrap/>
            <w:vAlign w:val="bottom"/>
            <w:hideMark/>
          </w:tcPr>
          <w:p w14:paraId="66E7C560"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0,012</w:t>
            </w:r>
          </w:p>
        </w:tc>
      </w:tr>
      <w:tr w:rsidR="00684768" w:rsidRPr="00063D2B" w14:paraId="4750FCB3" w14:textId="77777777" w:rsidTr="005E5068">
        <w:trPr>
          <w:trHeight w:val="300"/>
        </w:trPr>
        <w:tc>
          <w:tcPr>
            <w:tcW w:w="701" w:type="dxa"/>
            <w:vMerge/>
            <w:tcBorders>
              <w:left w:val="nil"/>
              <w:bottom w:val="nil"/>
            </w:tcBorders>
            <w:shd w:val="clear" w:color="000000" w:fill="FFFFFF"/>
            <w:noWrap/>
            <w:vAlign w:val="center"/>
            <w:hideMark/>
          </w:tcPr>
          <w:p w14:paraId="6778BC70" w14:textId="77777777" w:rsidR="00684768" w:rsidRPr="00063D2B" w:rsidRDefault="00684768" w:rsidP="005E5068">
            <w:pPr>
              <w:spacing w:after="0" w:line="240" w:lineRule="auto"/>
              <w:rPr>
                <w:rFonts w:eastAsia="Times New Roman" w:cstheme="minorHAnsi"/>
                <w:sz w:val="20"/>
                <w:szCs w:val="20"/>
                <w:lang w:eastAsia="it-IT"/>
              </w:rPr>
            </w:pPr>
          </w:p>
        </w:tc>
        <w:tc>
          <w:tcPr>
            <w:tcW w:w="292" w:type="dxa"/>
            <w:tcBorders>
              <w:top w:val="nil"/>
              <w:bottom w:val="nil"/>
            </w:tcBorders>
            <w:shd w:val="clear" w:color="000000" w:fill="FFFFFF"/>
            <w:noWrap/>
            <w:vAlign w:val="bottom"/>
            <w:hideMark/>
          </w:tcPr>
          <w:p w14:paraId="1DE1F6EC"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850" w:type="dxa"/>
            <w:tcBorders>
              <w:top w:val="nil"/>
              <w:bottom w:val="nil"/>
            </w:tcBorders>
            <w:shd w:val="clear" w:color="000000" w:fill="FFFFFF"/>
            <w:noWrap/>
            <w:vAlign w:val="bottom"/>
            <w:hideMark/>
          </w:tcPr>
          <w:p w14:paraId="00CA743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-0,008</w:t>
            </w:r>
          </w:p>
        </w:tc>
        <w:tc>
          <w:tcPr>
            <w:tcW w:w="709" w:type="dxa"/>
            <w:tcBorders>
              <w:top w:val="nil"/>
              <w:bottom w:val="nil"/>
            </w:tcBorders>
            <w:shd w:val="clear" w:color="000000" w:fill="FFFFFF"/>
            <w:noWrap/>
            <w:vAlign w:val="bottom"/>
            <w:hideMark/>
          </w:tcPr>
          <w:p w14:paraId="71D9D39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-0,006</w:t>
            </w:r>
          </w:p>
        </w:tc>
        <w:tc>
          <w:tcPr>
            <w:tcW w:w="709" w:type="dxa"/>
            <w:tcBorders>
              <w:top w:val="nil"/>
              <w:bottom w:val="nil"/>
            </w:tcBorders>
            <w:shd w:val="clear" w:color="auto" w:fill="D5DCE4" w:themeFill="text2" w:themeFillTint="33"/>
            <w:noWrap/>
            <w:vAlign w:val="bottom"/>
            <w:hideMark/>
          </w:tcPr>
          <w:p w14:paraId="4C9872F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-0,007</w:t>
            </w:r>
          </w:p>
        </w:tc>
        <w:tc>
          <w:tcPr>
            <w:tcW w:w="708" w:type="dxa"/>
            <w:tcBorders>
              <w:top w:val="nil"/>
              <w:bottom w:val="nil"/>
            </w:tcBorders>
            <w:shd w:val="clear" w:color="000000" w:fill="FFFFFF"/>
            <w:noWrap/>
            <w:vAlign w:val="bottom"/>
            <w:hideMark/>
          </w:tcPr>
          <w:p w14:paraId="0F7EA0C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-0,013</w:t>
            </w:r>
          </w:p>
        </w:tc>
        <w:tc>
          <w:tcPr>
            <w:tcW w:w="709" w:type="dxa"/>
            <w:tcBorders>
              <w:top w:val="nil"/>
              <w:bottom w:val="nil"/>
            </w:tcBorders>
            <w:shd w:val="clear" w:color="000000" w:fill="FFFFFF"/>
            <w:noWrap/>
            <w:vAlign w:val="center"/>
            <w:hideMark/>
          </w:tcPr>
          <w:p w14:paraId="07EADD9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0,009</w:t>
            </w:r>
          </w:p>
        </w:tc>
        <w:tc>
          <w:tcPr>
            <w:tcW w:w="709" w:type="dxa"/>
            <w:tcBorders>
              <w:top w:val="nil"/>
              <w:bottom w:val="nil"/>
            </w:tcBorders>
            <w:shd w:val="clear" w:color="000000" w:fill="FFFFFF"/>
            <w:noWrap/>
            <w:vAlign w:val="center"/>
            <w:hideMark/>
          </w:tcPr>
          <w:p w14:paraId="5843C7E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0,000</w:t>
            </w:r>
          </w:p>
        </w:tc>
        <w:tc>
          <w:tcPr>
            <w:tcW w:w="709" w:type="dxa"/>
            <w:tcBorders>
              <w:top w:val="nil"/>
              <w:bottom w:val="nil"/>
            </w:tcBorders>
            <w:shd w:val="clear" w:color="auto" w:fill="D5DCE4" w:themeFill="text2" w:themeFillTint="33"/>
            <w:noWrap/>
            <w:vAlign w:val="center"/>
            <w:hideMark/>
          </w:tcPr>
          <w:p w14:paraId="3B584E1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0,001</w:t>
            </w:r>
          </w:p>
        </w:tc>
        <w:tc>
          <w:tcPr>
            <w:tcW w:w="708" w:type="dxa"/>
            <w:tcBorders>
              <w:top w:val="nil"/>
              <w:bottom w:val="nil"/>
            </w:tcBorders>
            <w:shd w:val="clear" w:color="000000" w:fill="FFFFFF"/>
            <w:noWrap/>
            <w:vAlign w:val="center"/>
            <w:hideMark/>
          </w:tcPr>
          <w:p w14:paraId="45B8C78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0,002</w:t>
            </w:r>
          </w:p>
        </w:tc>
        <w:tc>
          <w:tcPr>
            <w:tcW w:w="709" w:type="dxa"/>
            <w:tcBorders>
              <w:top w:val="nil"/>
              <w:bottom w:val="nil"/>
            </w:tcBorders>
            <w:shd w:val="clear" w:color="000000" w:fill="FFFFFF"/>
            <w:noWrap/>
            <w:vAlign w:val="center"/>
            <w:hideMark/>
          </w:tcPr>
          <w:p w14:paraId="5CCAA96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-0,006</w:t>
            </w:r>
          </w:p>
        </w:tc>
        <w:tc>
          <w:tcPr>
            <w:tcW w:w="709" w:type="dxa"/>
            <w:tcBorders>
              <w:top w:val="nil"/>
              <w:bottom w:val="nil"/>
            </w:tcBorders>
            <w:shd w:val="clear" w:color="000000" w:fill="FFFFFF"/>
            <w:noWrap/>
            <w:vAlign w:val="center"/>
            <w:hideMark/>
          </w:tcPr>
          <w:p w14:paraId="65D2CDA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-0,006</w:t>
            </w:r>
          </w:p>
        </w:tc>
        <w:tc>
          <w:tcPr>
            <w:tcW w:w="694" w:type="dxa"/>
            <w:tcBorders>
              <w:top w:val="nil"/>
              <w:bottom w:val="nil"/>
            </w:tcBorders>
            <w:shd w:val="clear" w:color="auto" w:fill="D5DCE4" w:themeFill="text2" w:themeFillTint="33"/>
            <w:noWrap/>
            <w:vAlign w:val="center"/>
            <w:hideMark/>
          </w:tcPr>
          <w:p w14:paraId="63297B8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0,001</w:t>
            </w:r>
          </w:p>
        </w:tc>
        <w:tc>
          <w:tcPr>
            <w:tcW w:w="723" w:type="dxa"/>
            <w:tcBorders>
              <w:top w:val="nil"/>
              <w:bottom w:val="nil"/>
              <w:right w:val="nil"/>
            </w:tcBorders>
            <w:shd w:val="clear" w:color="000000" w:fill="FFFFFF"/>
            <w:noWrap/>
            <w:vAlign w:val="bottom"/>
            <w:hideMark/>
          </w:tcPr>
          <w:p w14:paraId="4975CD47"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-0,005</w:t>
            </w:r>
          </w:p>
        </w:tc>
      </w:tr>
      <w:tr w:rsidR="00684768" w:rsidRPr="00063D2B" w14:paraId="4CBF4BA8" w14:textId="77777777" w:rsidTr="005E5068">
        <w:trPr>
          <w:trHeight w:val="300"/>
        </w:trPr>
        <w:tc>
          <w:tcPr>
            <w:tcW w:w="701" w:type="dxa"/>
            <w:vMerge w:val="restart"/>
            <w:tcBorders>
              <w:top w:val="nil"/>
              <w:left w:val="nil"/>
            </w:tcBorders>
            <w:shd w:val="clear" w:color="000000" w:fill="FFFFFF"/>
            <w:noWrap/>
            <w:vAlign w:val="center"/>
            <w:hideMark/>
          </w:tcPr>
          <w:p w14:paraId="08FB4C0D"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2022</w:t>
            </w:r>
          </w:p>
        </w:tc>
        <w:tc>
          <w:tcPr>
            <w:tcW w:w="292" w:type="dxa"/>
            <w:tcBorders>
              <w:top w:val="nil"/>
              <w:bottom w:val="nil"/>
            </w:tcBorders>
            <w:shd w:val="clear" w:color="000000" w:fill="FFFFFF"/>
            <w:noWrap/>
            <w:vAlign w:val="bottom"/>
            <w:hideMark/>
          </w:tcPr>
          <w:p w14:paraId="2BA14D37"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850" w:type="dxa"/>
            <w:tcBorders>
              <w:top w:val="nil"/>
              <w:bottom w:val="nil"/>
            </w:tcBorders>
            <w:shd w:val="clear" w:color="000000" w:fill="FFFFFF"/>
            <w:noWrap/>
            <w:vAlign w:val="bottom"/>
            <w:hideMark/>
          </w:tcPr>
          <w:p w14:paraId="661BFD3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-0,027</w:t>
            </w:r>
          </w:p>
        </w:tc>
        <w:tc>
          <w:tcPr>
            <w:tcW w:w="709" w:type="dxa"/>
            <w:tcBorders>
              <w:top w:val="nil"/>
              <w:bottom w:val="nil"/>
            </w:tcBorders>
            <w:shd w:val="clear" w:color="000000" w:fill="FFFFFF"/>
            <w:noWrap/>
            <w:vAlign w:val="bottom"/>
            <w:hideMark/>
          </w:tcPr>
          <w:p w14:paraId="5ACCFBD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-0,006</w:t>
            </w:r>
          </w:p>
        </w:tc>
        <w:tc>
          <w:tcPr>
            <w:tcW w:w="709" w:type="dxa"/>
            <w:tcBorders>
              <w:top w:val="nil"/>
              <w:bottom w:val="nil"/>
            </w:tcBorders>
            <w:shd w:val="clear" w:color="auto" w:fill="D5DCE4" w:themeFill="text2" w:themeFillTint="33"/>
            <w:noWrap/>
            <w:vAlign w:val="bottom"/>
            <w:hideMark/>
          </w:tcPr>
          <w:p w14:paraId="04E66C6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-0,024</w:t>
            </w:r>
          </w:p>
        </w:tc>
        <w:tc>
          <w:tcPr>
            <w:tcW w:w="708" w:type="dxa"/>
            <w:tcBorders>
              <w:top w:val="nil"/>
              <w:bottom w:val="nil"/>
            </w:tcBorders>
            <w:shd w:val="clear" w:color="000000" w:fill="FFFFFF"/>
            <w:noWrap/>
            <w:vAlign w:val="bottom"/>
            <w:hideMark/>
          </w:tcPr>
          <w:p w14:paraId="16D98A94"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-0,030</w:t>
            </w:r>
          </w:p>
        </w:tc>
        <w:tc>
          <w:tcPr>
            <w:tcW w:w="709" w:type="dxa"/>
            <w:tcBorders>
              <w:top w:val="nil"/>
              <w:bottom w:val="nil"/>
            </w:tcBorders>
            <w:shd w:val="clear" w:color="000000" w:fill="FFFFFF"/>
            <w:noWrap/>
            <w:vAlign w:val="center"/>
            <w:hideMark/>
          </w:tcPr>
          <w:p w14:paraId="32A61D7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0,009</w:t>
            </w:r>
          </w:p>
        </w:tc>
        <w:tc>
          <w:tcPr>
            <w:tcW w:w="709" w:type="dxa"/>
            <w:tcBorders>
              <w:top w:val="nil"/>
              <w:bottom w:val="nil"/>
            </w:tcBorders>
            <w:shd w:val="clear" w:color="000000" w:fill="FFFFFF"/>
            <w:noWrap/>
            <w:vAlign w:val="center"/>
            <w:hideMark/>
          </w:tcPr>
          <w:p w14:paraId="29C545E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0,028</w:t>
            </w:r>
          </w:p>
        </w:tc>
        <w:tc>
          <w:tcPr>
            <w:tcW w:w="709" w:type="dxa"/>
            <w:tcBorders>
              <w:top w:val="nil"/>
              <w:bottom w:val="nil"/>
            </w:tcBorders>
            <w:shd w:val="clear" w:color="auto" w:fill="D5DCE4" w:themeFill="text2" w:themeFillTint="33"/>
            <w:noWrap/>
            <w:vAlign w:val="center"/>
            <w:hideMark/>
          </w:tcPr>
          <w:p w14:paraId="1018A44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0,018</w:t>
            </w:r>
          </w:p>
        </w:tc>
        <w:tc>
          <w:tcPr>
            <w:tcW w:w="708" w:type="dxa"/>
            <w:tcBorders>
              <w:top w:val="nil"/>
              <w:bottom w:val="nil"/>
            </w:tcBorders>
            <w:shd w:val="clear" w:color="000000" w:fill="FFFFFF"/>
            <w:noWrap/>
            <w:vAlign w:val="center"/>
            <w:hideMark/>
          </w:tcPr>
          <w:p w14:paraId="1C6362C8"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0,002</w:t>
            </w:r>
          </w:p>
        </w:tc>
        <w:tc>
          <w:tcPr>
            <w:tcW w:w="709" w:type="dxa"/>
            <w:tcBorders>
              <w:top w:val="nil"/>
              <w:bottom w:val="nil"/>
            </w:tcBorders>
            <w:shd w:val="clear" w:color="000000" w:fill="FFFFFF"/>
            <w:noWrap/>
            <w:vAlign w:val="center"/>
            <w:hideMark/>
          </w:tcPr>
          <w:p w14:paraId="2BD1597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0,001</w:t>
            </w:r>
          </w:p>
        </w:tc>
        <w:tc>
          <w:tcPr>
            <w:tcW w:w="709" w:type="dxa"/>
            <w:tcBorders>
              <w:top w:val="nil"/>
              <w:bottom w:val="nil"/>
            </w:tcBorders>
            <w:shd w:val="clear" w:color="000000" w:fill="FFFFFF"/>
            <w:noWrap/>
            <w:vAlign w:val="center"/>
            <w:hideMark/>
          </w:tcPr>
          <w:p w14:paraId="1961F6A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0,019</w:t>
            </w:r>
          </w:p>
        </w:tc>
        <w:tc>
          <w:tcPr>
            <w:tcW w:w="694" w:type="dxa"/>
            <w:tcBorders>
              <w:top w:val="nil"/>
              <w:bottom w:val="nil"/>
            </w:tcBorders>
            <w:shd w:val="clear" w:color="auto" w:fill="D5DCE4" w:themeFill="text2" w:themeFillTint="33"/>
            <w:noWrap/>
            <w:vAlign w:val="center"/>
            <w:hideMark/>
          </w:tcPr>
          <w:p w14:paraId="5E406F5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0,004</w:t>
            </w:r>
          </w:p>
        </w:tc>
        <w:tc>
          <w:tcPr>
            <w:tcW w:w="723" w:type="dxa"/>
            <w:tcBorders>
              <w:top w:val="nil"/>
              <w:bottom w:val="nil"/>
              <w:right w:val="nil"/>
            </w:tcBorders>
            <w:shd w:val="clear" w:color="000000" w:fill="FFFFFF"/>
            <w:noWrap/>
            <w:vAlign w:val="bottom"/>
            <w:hideMark/>
          </w:tcPr>
          <w:p w14:paraId="68FCFE93"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-0,002</w:t>
            </w:r>
          </w:p>
        </w:tc>
      </w:tr>
      <w:tr w:rsidR="00684768" w:rsidRPr="00063D2B" w14:paraId="73C62B9C" w14:textId="77777777" w:rsidTr="005E5068">
        <w:trPr>
          <w:trHeight w:val="300"/>
        </w:trPr>
        <w:tc>
          <w:tcPr>
            <w:tcW w:w="701" w:type="dxa"/>
            <w:vMerge/>
            <w:tcBorders>
              <w:left w:val="nil"/>
              <w:bottom w:val="nil"/>
            </w:tcBorders>
            <w:shd w:val="clear" w:color="000000" w:fill="FFFFFF"/>
            <w:noWrap/>
            <w:vAlign w:val="center"/>
            <w:hideMark/>
          </w:tcPr>
          <w:p w14:paraId="61C64857" w14:textId="77777777" w:rsidR="00684768" w:rsidRPr="00063D2B" w:rsidRDefault="00684768" w:rsidP="005E5068">
            <w:pPr>
              <w:spacing w:after="0" w:line="240" w:lineRule="auto"/>
              <w:rPr>
                <w:rFonts w:eastAsia="Times New Roman" w:cstheme="minorHAnsi"/>
                <w:sz w:val="20"/>
                <w:szCs w:val="20"/>
                <w:lang w:eastAsia="it-IT"/>
              </w:rPr>
            </w:pPr>
          </w:p>
        </w:tc>
        <w:tc>
          <w:tcPr>
            <w:tcW w:w="292" w:type="dxa"/>
            <w:tcBorders>
              <w:top w:val="nil"/>
              <w:bottom w:val="nil"/>
            </w:tcBorders>
            <w:shd w:val="clear" w:color="000000" w:fill="FFFFFF"/>
            <w:noWrap/>
            <w:vAlign w:val="bottom"/>
            <w:hideMark/>
          </w:tcPr>
          <w:p w14:paraId="0ED2296B"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850" w:type="dxa"/>
            <w:tcBorders>
              <w:top w:val="nil"/>
              <w:bottom w:val="nil"/>
            </w:tcBorders>
            <w:shd w:val="clear" w:color="000000" w:fill="FFFFFF"/>
            <w:noWrap/>
            <w:vAlign w:val="bottom"/>
            <w:hideMark/>
          </w:tcPr>
          <w:p w14:paraId="2F8BB25B"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0,039</w:t>
            </w:r>
          </w:p>
        </w:tc>
        <w:tc>
          <w:tcPr>
            <w:tcW w:w="709" w:type="dxa"/>
            <w:tcBorders>
              <w:top w:val="nil"/>
              <w:bottom w:val="nil"/>
            </w:tcBorders>
            <w:shd w:val="clear" w:color="000000" w:fill="FFFFFF"/>
            <w:noWrap/>
            <w:vAlign w:val="bottom"/>
            <w:hideMark/>
          </w:tcPr>
          <w:p w14:paraId="1D4627A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0,045</w:t>
            </w:r>
          </w:p>
        </w:tc>
        <w:tc>
          <w:tcPr>
            <w:tcW w:w="709" w:type="dxa"/>
            <w:tcBorders>
              <w:top w:val="nil"/>
              <w:bottom w:val="nil"/>
            </w:tcBorders>
            <w:shd w:val="clear" w:color="auto" w:fill="D5DCE4" w:themeFill="text2" w:themeFillTint="33"/>
            <w:noWrap/>
            <w:vAlign w:val="bottom"/>
            <w:hideMark/>
          </w:tcPr>
          <w:p w14:paraId="276BD5E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0,045</w:t>
            </w:r>
          </w:p>
        </w:tc>
        <w:tc>
          <w:tcPr>
            <w:tcW w:w="708" w:type="dxa"/>
            <w:tcBorders>
              <w:top w:val="nil"/>
              <w:bottom w:val="nil"/>
            </w:tcBorders>
            <w:shd w:val="clear" w:color="000000" w:fill="FFFFFF"/>
            <w:noWrap/>
            <w:vAlign w:val="bottom"/>
            <w:hideMark/>
          </w:tcPr>
          <w:p w14:paraId="6EFB085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0,024</w:t>
            </w:r>
          </w:p>
        </w:tc>
        <w:tc>
          <w:tcPr>
            <w:tcW w:w="709" w:type="dxa"/>
            <w:tcBorders>
              <w:top w:val="nil"/>
              <w:bottom w:val="nil"/>
            </w:tcBorders>
            <w:shd w:val="clear" w:color="000000" w:fill="FFFFFF"/>
            <w:noWrap/>
            <w:vAlign w:val="center"/>
            <w:hideMark/>
          </w:tcPr>
          <w:p w14:paraId="2F7CD01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0,199</w:t>
            </w:r>
          </w:p>
        </w:tc>
        <w:tc>
          <w:tcPr>
            <w:tcW w:w="709" w:type="dxa"/>
            <w:tcBorders>
              <w:top w:val="nil"/>
              <w:bottom w:val="nil"/>
            </w:tcBorders>
            <w:shd w:val="clear" w:color="000000" w:fill="FFFFFF"/>
            <w:noWrap/>
            <w:vAlign w:val="center"/>
            <w:hideMark/>
          </w:tcPr>
          <w:p w14:paraId="6249044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0,173</w:t>
            </w:r>
          </w:p>
        </w:tc>
        <w:tc>
          <w:tcPr>
            <w:tcW w:w="709" w:type="dxa"/>
            <w:tcBorders>
              <w:top w:val="nil"/>
              <w:bottom w:val="nil"/>
            </w:tcBorders>
            <w:shd w:val="clear" w:color="auto" w:fill="D5DCE4" w:themeFill="text2" w:themeFillTint="33"/>
            <w:noWrap/>
            <w:vAlign w:val="center"/>
            <w:hideMark/>
          </w:tcPr>
          <w:p w14:paraId="26373CB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0,217</w:t>
            </w:r>
          </w:p>
        </w:tc>
        <w:tc>
          <w:tcPr>
            <w:tcW w:w="708" w:type="dxa"/>
            <w:tcBorders>
              <w:top w:val="nil"/>
              <w:bottom w:val="nil"/>
            </w:tcBorders>
            <w:shd w:val="clear" w:color="000000" w:fill="FFFFFF"/>
            <w:noWrap/>
            <w:vAlign w:val="center"/>
            <w:hideMark/>
          </w:tcPr>
          <w:p w14:paraId="30220A0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0,215</w:t>
            </w:r>
          </w:p>
        </w:tc>
        <w:tc>
          <w:tcPr>
            <w:tcW w:w="709" w:type="dxa"/>
            <w:tcBorders>
              <w:top w:val="nil"/>
              <w:bottom w:val="nil"/>
            </w:tcBorders>
            <w:shd w:val="clear" w:color="000000" w:fill="FFFFFF"/>
            <w:noWrap/>
            <w:vAlign w:val="center"/>
            <w:hideMark/>
          </w:tcPr>
          <w:p w14:paraId="24E7B9E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0,006</w:t>
            </w:r>
          </w:p>
        </w:tc>
        <w:tc>
          <w:tcPr>
            <w:tcW w:w="709" w:type="dxa"/>
            <w:tcBorders>
              <w:top w:val="nil"/>
              <w:bottom w:val="nil"/>
            </w:tcBorders>
            <w:shd w:val="clear" w:color="000000" w:fill="FFFFFF"/>
            <w:noWrap/>
            <w:vAlign w:val="center"/>
            <w:hideMark/>
          </w:tcPr>
          <w:p w14:paraId="68D3F3C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0,013</w:t>
            </w:r>
          </w:p>
        </w:tc>
        <w:tc>
          <w:tcPr>
            <w:tcW w:w="694" w:type="dxa"/>
            <w:tcBorders>
              <w:top w:val="nil"/>
              <w:bottom w:val="nil"/>
            </w:tcBorders>
            <w:shd w:val="clear" w:color="auto" w:fill="D5DCE4" w:themeFill="text2" w:themeFillTint="33"/>
            <w:noWrap/>
            <w:vAlign w:val="center"/>
            <w:hideMark/>
          </w:tcPr>
          <w:p w14:paraId="263C658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0,001</w:t>
            </w:r>
          </w:p>
        </w:tc>
        <w:tc>
          <w:tcPr>
            <w:tcW w:w="723" w:type="dxa"/>
            <w:tcBorders>
              <w:top w:val="nil"/>
              <w:bottom w:val="nil"/>
              <w:right w:val="nil"/>
            </w:tcBorders>
            <w:shd w:val="clear" w:color="000000" w:fill="FFFFFF"/>
            <w:noWrap/>
            <w:vAlign w:val="bottom"/>
            <w:hideMark/>
          </w:tcPr>
          <w:p w14:paraId="76108B8A"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0,004</w:t>
            </w:r>
          </w:p>
        </w:tc>
      </w:tr>
      <w:tr w:rsidR="00684768" w:rsidRPr="00063D2B" w14:paraId="694A7CA6" w14:textId="77777777" w:rsidTr="005E5068">
        <w:trPr>
          <w:trHeight w:val="300"/>
        </w:trPr>
        <w:tc>
          <w:tcPr>
            <w:tcW w:w="701" w:type="dxa"/>
            <w:vMerge w:val="restart"/>
            <w:tcBorders>
              <w:top w:val="nil"/>
              <w:left w:val="nil"/>
            </w:tcBorders>
            <w:shd w:val="clear" w:color="000000" w:fill="FFFFFF"/>
            <w:noWrap/>
            <w:vAlign w:val="center"/>
            <w:hideMark/>
          </w:tcPr>
          <w:p w14:paraId="1483F0E4"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2023</w:t>
            </w:r>
          </w:p>
        </w:tc>
        <w:tc>
          <w:tcPr>
            <w:tcW w:w="292" w:type="dxa"/>
            <w:tcBorders>
              <w:top w:val="nil"/>
              <w:bottom w:val="nil"/>
            </w:tcBorders>
            <w:shd w:val="clear" w:color="000000" w:fill="FFFFFF"/>
            <w:noWrap/>
            <w:vAlign w:val="bottom"/>
            <w:hideMark/>
          </w:tcPr>
          <w:p w14:paraId="24BD1FFD"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w:t>
            </w:r>
          </w:p>
        </w:tc>
        <w:tc>
          <w:tcPr>
            <w:tcW w:w="850" w:type="dxa"/>
            <w:tcBorders>
              <w:top w:val="nil"/>
              <w:bottom w:val="nil"/>
            </w:tcBorders>
            <w:shd w:val="clear" w:color="000000" w:fill="FFFFFF"/>
            <w:noWrap/>
            <w:vAlign w:val="bottom"/>
            <w:hideMark/>
          </w:tcPr>
          <w:p w14:paraId="0680F97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0,017</w:t>
            </w:r>
          </w:p>
        </w:tc>
        <w:tc>
          <w:tcPr>
            <w:tcW w:w="709" w:type="dxa"/>
            <w:tcBorders>
              <w:top w:val="nil"/>
              <w:bottom w:val="nil"/>
            </w:tcBorders>
            <w:shd w:val="clear" w:color="000000" w:fill="FFFFFF"/>
            <w:noWrap/>
            <w:vAlign w:val="bottom"/>
            <w:hideMark/>
          </w:tcPr>
          <w:p w14:paraId="1CEFFC5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0,032</w:t>
            </w:r>
          </w:p>
        </w:tc>
        <w:tc>
          <w:tcPr>
            <w:tcW w:w="709" w:type="dxa"/>
            <w:tcBorders>
              <w:top w:val="nil"/>
              <w:bottom w:val="nil"/>
            </w:tcBorders>
            <w:shd w:val="clear" w:color="auto" w:fill="D5DCE4" w:themeFill="text2" w:themeFillTint="33"/>
            <w:noWrap/>
            <w:vAlign w:val="bottom"/>
            <w:hideMark/>
          </w:tcPr>
          <w:p w14:paraId="3DAF62FA"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0,026</w:t>
            </w:r>
          </w:p>
        </w:tc>
        <w:tc>
          <w:tcPr>
            <w:tcW w:w="708" w:type="dxa"/>
            <w:tcBorders>
              <w:top w:val="nil"/>
              <w:bottom w:val="nil"/>
            </w:tcBorders>
            <w:shd w:val="clear" w:color="000000" w:fill="FFFFFF"/>
            <w:noWrap/>
            <w:vAlign w:val="bottom"/>
            <w:hideMark/>
          </w:tcPr>
          <w:p w14:paraId="0C74E977"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0,034</w:t>
            </w:r>
          </w:p>
        </w:tc>
        <w:tc>
          <w:tcPr>
            <w:tcW w:w="709" w:type="dxa"/>
            <w:tcBorders>
              <w:top w:val="nil"/>
              <w:bottom w:val="nil"/>
            </w:tcBorders>
            <w:shd w:val="clear" w:color="000000" w:fill="FFFFFF"/>
            <w:noWrap/>
            <w:vAlign w:val="center"/>
            <w:hideMark/>
          </w:tcPr>
          <w:p w14:paraId="7C2D2922"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0,104</w:t>
            </w:r>
          </w:p>
        </w:tc>
        <w:tc>
          <w:tcPr>
            <w:tcW w:w="709" w:type="dxa"/>
            <w:tcBorders>
              <w:top w:val="nil"/>
              <w:bottom w:val="nil"/>
            </w:tcBorders>
            <w:shd w:val="clear" w:color="000000" w:fill="FFFFFF"/>
            <w:noWrap/>
            <w:vAlign w:val="center"/>
            <w:hideMark/>
          </w:tcPr>
          <w:p w14:paraId="6B8FF250"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0,136</w:t>
            </w:r>
          </w:p>
        </w:tc>
        <w:tc>
          <w:tcPr>
            <w:tcW w:w="709" w:type="dxa"/>
            <w:tcBorders>
              <w:top w:val="nil"/>
              <w:bottom w:val="nil"/>
            </w:tcBorders>
            <w:shd w:val="clear" w:color="auto" w:fill="D5DCE4" w:themeFill="text2" w:themeFillTint="33"/>
            <w:noWrap/>
            <w:vAlign w:val="center"/>
            <w:hideMark/>
          </w:tcPr>
          <w:p w14:paraId="0C4FD5BC"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0,065</w:t>
            </w:r>
          </w:p>
        </w:tc>
        <w:tc>
          <w:tcPr>
            <w:tcW w:w="708" w:type="dxa"/>
            <w:tcBorders>
              <w:top w:val="nil"/>
              <w:bottom w:val="nil"/>
            </w:tcBorders>
            <w:shd w:val="clear" w:color="000000" w:fill="FFFFFF"/>
            <w:noWrap/>
            <w:vAlign w:val="center"/>
            <w:hideMark/>
          </w:tcPr>
          <w:p w14:paraId="6DC74BB6"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0,081</w:t>
            </w:r>
          </w:p>
        </w:tc>
        <w:tc>
          <w:tcPr>
            <w:tcW w:w="709" w:type="dxa"/>
            <w:tcBorders>
              <w:top w:val="nil"/>
              <w:bottom w:val="nil"/>
            </w:tcBorders>
            <w:shd w:val="clear" w:color="000000" w:fill="FFFFFF"/>
            <w:noWrap/>
            <w:vAlign w:val="center"/>
            <w:hideMark/>
          </w:tcPr>
          <w:p w14:paraId="11B06AB9"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0,056</w:t>
            </w:r>
          </w:p>
        </w:tc>
        <w:tc>
          <w:tcPr>
            <w:tcW w:w="709" w:type="dxa"/>
            <w:tcBorders>
              <w:top w:val="nil"/>
              <w:bottom w:val="nil"/>
            </w:tcBorders>
            <w:shd w:val="clear" w:color="000000" w:fill="FFFFFF"/>
            <w:noWrap/>
            <w:vAlign w:val="center"/>
            <w:hideMark/>
          </w:tcPr>
          <w:p w14:paraId="37FAFA5F"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0,070</w:t>
            </w:r>
          </w:p>
        </w:tc>
        <w:tc>
          <w:tcPr>
            <w:tcW w:w="694" w:type="dxa"/>
            <w:tcBorders>
              <w:top w:val="nil"/>
              <w:bottom w:val="nil"/>
            </w:tcBorders>
            <w:shd w:val="clear" w:color="auto" w:fill="D5DCE4" w:themeFill="text2" w:themeFillTint="33"/>
            <w:noWrap/>
            <w:vAlign w:val="center"/>
            <w:hideMark/>
          </w:tcPr>
          <w:p w14:paraId="3263ED1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0,050</w:t>
            </w:r>
          </w:p>
        </w:tc>
        <w:tc>
          <w:tcPr>
            <w:tcW w:w="723" w:type="dxa"/>
            <w:tcBorders>
              <w:top w:val="nil"/>
              <w:bottom w:val="nil"/>
              <w:right w:val="nil"/>
            </w:tcBorders>
            <w:shd w:val="clear" w:color="000000" w:fill="FFFFFF"/>
            <w:noWrap/>
            <w:vAlign w:val="bottom"/>
            <w:hideMark/>
          </w:tcPr>
          <w:p w14:paraId="3E8AAE38"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0,072</w:t>
            </w:r>
          </w:p>
        </w:tc>
      </w:tr>
      <w:tr w:rsidR="00684768" w:rsidRPr="00063D2B" w14:paraId="19D21BA8" w14:textId="77777777" w:rsidTr="005E5068">
        <w:trPr>
          <w:trHeight w:val="300"/>
        </w:trPr>
        <w:tc>
          <w:tcPr>
            <w:tcW w:w="701" w:type="dxa"/>
            <w:vMerge/>
            <w:tcBorders>
              <w:left w:val="nil"/>
              <w:bottom w:val="single" w:sz="4" w:space="0" w:color="auto"/>
            </w:tcBorders>
            <w:shd w:val="clear" w:color="000000" w:fill="FFFFFF"/>
            <w:noWrap/>
            <w:vAlign w:val="bottom"/>
            <w:hideMark/>
          </w:tcPr>
          <w:p w14:paraId="699CD221" w14:textId="77777777" w:rsidR="00684768" w:rsidRPr="00063D2B" w:rsidRDefault="00684768" w:rsidP="005E5068">
            <w:pPr>
              <w:spacing w:after="0" w:line="240" w:lineRule="auto"/>
              <w:rPr>
                <w:rFonts w:eastAsia="Times New Roman" w:cstheme="minorHAnsi"/>
                <w:sz w:val="20"/>
                <w:szCs w:val="20"/>
                <w:lang w:eastAsia="it-IT"/>
              </w:rPr>
            </w:pPr>
          </w:p>
        </w:tc>
        <w:tc>
          <w:tcPr>
            <w:tcW w:w="292" w:type="dxa"/>
            <w:tcBorders>
              <w:top w:val="nil"/>
              <w:bottom w:val="single" w:sz="4" w:space="0" w:color="auto"/>
            </w:tcBorders>
            <w:shd w:val="clear" w:color="000000" w:fill="FFFFFF"/>
            <w:noWrap/>
            <w:vAlign w:val="bottom"/>
            <w:hideMark/>
          </w:tcPr>
          <w:p w14:paraId="4036366C" w14:textId="77777777" w:rsidR="00684768" w:rsidRPr="00063D2B" w:rsidRDefault="00684768" w:rsidP="005E5068">
            <w:pPr>
              <w:spacing w:after="0" w:line="240" w:lineRule="auto"/>
              <w:rPr>
                <w:rFonts w:eastAsia="Times New Roman" w:cstheme="minorHAnsi"/>
                <w:sz w:val="20"/>
                <w:szCs w:val="20"/>
                <w:lang w:eastAsia="it-IT"/>
              </w:rPr>
            </w:pPr>
            <w:r w:rsidRPr="00063D2B">
              <w:rPr>
                <w:rFonts w:eastAsia="Times New Roman" w:cstheme="minorHAnsi"/>
                <w:sz w:val="20"/>
                <w:szCs w:val="20"/>
                <w:lang w:eastAsia="it-IT"/>
              </w:rPr>
              <w:t>II</w:t>
            </w:r>
          </w:p>
        </w:tc>
        <w:tc>
          <w:tcPr>
            <w:tcW w:w="850" w:type="dxa"/>
            <w:tcBorders>
              <w:top w:val="nil"/>
              <w:bottom w:val="single" w:sz="4" w:space="0" w:color="auto"/>
            </w:tcBorders>
            <w:shd w:val="clear" w:color="000000" w:fill="FFFFFF"/>
            <w:noWrap/>
            <w:vAlign w:val="bottom"/>
            <w:hideMark/>
          </w:tcPr>
          <w:p w14:paraId="7AD29F6D"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0,003</w:t>
            </w:r>
          </w:p>
        </w:tc>
        <w:tc>
          <w:tcPr>
            <w:tcW w:w="709" w:type="dxa"/>
            <w:tcBorders>
              <w:top w:val="nil"/>
              <w:bottom w:val="single" w:sz="4" w:space="0" w:color="auto"/>
            </w:tcBorders>
            <w:shd w:val="clear" w:color="000000" w:fill="FFFFFF"/>
            <w:noWrap/>
            <w:vAlign w:val="bottom"/>
            <w:hideMark/>
          </w:tcPr>
          <w:p w14:paraId="7D3B22C3"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0,009</w:t>
            </w:r>
          </w:p>
        </w:tc>
        <w:tc>
          <w:tcPr>
            <w:tcW w:w="709" w:type="dxa"/>
            <w:tcBorders>
              <w:top w:val="nil"/>
              <w:bottom w:val="single" w:sz="4" w:space="0" w:color="auto"/>
            </w:tcBorders>
            <w:shd w:val="clear" w:color="auto" w:fill="D5DCE4" w:themeFill="text2" w:themeFillTint="33"/>
            <w:noWrap/>
            <w:vAlign w:val="bottom"/>
            <w:hideMark/>
          </w:tcPr>
          <w:p w14:paraId="60B190F1"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0,011</w:t>
            </w:r>
          </w:p>
        </w:tc>
        <w:tc>
          <w:tcPr>
            <w:tcW w:w="708" w:type="dxa"/>
            <w:tcBorders>
              <w:top w:val="nil"/>
              <w:bottom w:val="single" w:sz="4" w:space="0" w:color="auto"/>
            </w:tcBorders>
            <w:shd w:val="clear" w:color="000000" w:fill="FFFFFF"/>
            <w:noWrap/>
            <w:vAlign w:val="bottom"/>
            <w:hideMark/>
          </w:tcPr>
          <w:p w14:paraId="1712625E" w14:textId="77777777" w:rsidR="00684768" w:rsidRPr="00063D2B" w:rsidRDefault="00684768" w:rsidP="005E5068">
            <w:pPr>
              <w:spacing w:after="0" w:line="240" w:lineRule="auto"/>
              <w:jc w:val="center"/>
              <w:rPr>
                <w:rFonts w:eastAsia="Times New Roman" w:cstheme="minorHAnsi"/>
                <w:sz w:val="20"/>
                <w:szCs w:val="20"/>
                <w:lang w:eastAsia="it-IT"/>
              </w:rPr>
            </w:pPr>
            <w:r w:rsidRPr="00063D2B">
              <w:rPr>
                <w:rFonts w:eastAsia="Times New Roman" w:cstheme="minorHAnsi"/>
                <w:sz w:val="20"/>
                <w:szCs w:val="20"/>
                <w:lang w:eastAsia="it-IT"/>
              </w:rPr>
              <w:t>0,001</w:t>
            </w:r>
          </w:p>
        </w:tc>
        <w:tc>
          <w:tcPr>
            <w:tcW w:w="709" w:type="dxa"/>
            <w:tcBorders>
              <w:top w:val="nil"/>
              <w:bottom w:val="single" w:sz="4" w:space="0" w:color="auto"/>
            </w:tcBorders>
            <w:shd w:val="clear" w:color="000000" w:fill="FFFFFF"/>
            <w:noWrap/>
            <w:vAlign w:val="bottom"/>
            <w:hideMark/>
          </w:tcPr>
          <w:p w14:paraId="37546A72"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0,062</w:t>
            </w:r>
          </w:p>
        </w:tc>
        <w:tc>
          <w:tcPr>
            <w:tcW w:w="709" w:type="dxa"/>
            <w:tcBorders>
              <w:top w:val="nil"/>
              <w:bottom w:val="single" w:sz="4" w:space="0" w:color="auto"/>
            </w:tcBorders>
            <w:shd w:val="clear" w:color="000000" w:fill="FFFFFF"/>
            <w:noWrap/>
            <w:vAlign w:val="bottom"/>
            <w:hideMark/>
          </w:tcPr>
          <w:p w14:paraId="3C845707"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0,074</w:t>
            </w:r>
          </w:p>
        </w:tc>
        <w:tc>
          <w:tcPr>
            <w:tcW w:w="709" w:type="dxa"/>
            <w:tcBorders>
              <w:top w:val="nil"/>
              <w:bottom w:val="single" w:sz="4" w:space="0" w:color="auto"/>
            </w:tcBorders>
            <w:shd w:val="clear" w:color="auto" w:fill="D5DCE4" w:themeFill="text2" w:themeFillTint="33"/>
            <w:noWrap/>
            <w:vAlign w:val="bottom"/>
            <w:hideMark/>
          </w:tcPr>
          <w:p w14:paraId="3C0B898D"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0,053</w:t>
            </w:r>
          </w:p>
        </w:tc>
        <w:tc>
          <w:tcPr>
            <w:tcW w:w="708" w:type="dxa"/>
            <w:tcBorders>
              <w:top w:val="nil"/>
              <w:bottom w:val="single" w:sz="4" w:space="0" w:color="auto"/>
            </w:tcBorders>
            <w:shd w:val="clear" w:color="000000" w:fill="FFFFFF"/>
            <w:noWrap/>
            <w:vAlign w:val="bottom"/>
            <w:hideMark/>
          </w:tcPr>
          <w:p w14:paraId="21A8B02E"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0,068</w:t>
            </w:r>
          </w:p>
        </w:tc>
        <w:tc>
          <w:tcPr>
            <w:tcW w:w="709" w:type="dxa"/>
            <w:tcBorders>
              <w:top w:val="nil"/>
              <w:bottom w:val="single" w:sz="4" w:space="0" w:color="auto"/>
            </w:tcBorders>
            <w:shd w:val="clear" w:color="000000" w:fill="FFFFFF"/>
            <w:noWrap/>
            <w:vAlign w:val="bottom"/>
            <w:hideMark/>
          </w:tcPr>
          <w:p w14:paraId="5F7B92E6"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0,008</w:t>
            </w:r>
          </w:p>
        </w:tc>
        <w:tc>
          <w:tcPr>
            <w:tcW w:w="709" w:type="dxa"/>
            <w:tcBorders>
              <w:top w:val="nil"/>
              <w:bottom w:val="single" w:sz="4" w:space="0" w:color="auto"/>
            </w:tcBorders>
            <w:shd w:val="clear" w:color="000000" w:fill="FFFFFF"/>
            <w:noWrap/>
            <w:vAlign w:val="bottom"/>
            <w:hideMark/>
          </w:tcPr>
          <w:p w14:paraId="22BF789E"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0,042</w:t>
            </w:r>
          </w:p>
        </w:tc>
        <w:tc>
          <w:tcPr>
            <w:tcW w:w="694" w:type="dxa"/>
            <w:tcBorders>
              <w:top w:val="nil"/>
              <w:bottom w:val="single" w:sz="4" w:space="0" w:color="auto"/>
            </w:tcBorders>
            <w:shd w:val="clear" w:color="auto" w:fill="D5DCE4" w:themeFill="text2" w:themeFillTint="33"/>
            <w:noWrap/>
            <w:vAlign w:val="bottom"/>
            <w:hideMark/>
          </w:tcPr>
          <w:p w14:paraId="268310EE"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0,014</w:t>
            </w:r>
          </w:p>
        </w:tc>
        <w:tc>
          <w:tcPr>
            <w:tcW w:w="723" w:type="dxa"/>
            <w:tcBorders>
              <w:top w:val="nil"/>
              <w:bottom w:val="single" w:sz="4" w:space="0" w:color="auto"/>
              <w:right w:val="nil"/>
            </w:tcBorders>
            <w:shd w:val="clear" w:color="000000" w:fill="FFFFFF"/>
            <w:noWrap/>
            <w:vAlign w:val="bottom"/>
            <w:hideMark/>
          </w:tcPr>
          <w:p w14:paraId="0D2D3189" w14:textId="77777777" w:rsidR="00684768" w:rsidRPr="00063D2B" w:rsidRDefault="00684768" w:rsidP="005E5068">
            <w:pPr>
              <w:spacing w:after="0" w:line="240" w:lineRule="auto"/>
              <w:jc w:val="right"/>
              <w:rPr>
                <w:rFonts w:eastAsia="Times New Roman" w:cstheme="minorHAnsi"/>
                <w:sz w:val="20"/>
                <w:szCs w:val="20"/>
                <w:lang w:eastAsia="it-IT"/>
              </w:rPr>
            </w:pPr>
            <w:r w:rsidRPr="00063D2B">
              <w:rPr>
                <w:rFonts w:eastAsia="Times New Roman" w:cstheme="minorHAnsi"/>
                <w:sz w:val="20"/>
                <w:szCs w:val="20"/>
                <w:lang w:eastAsia="it-IT"/>
              </w:rPr>
              <w:t>0,035</w:t>
            </w:r>
          </w:p>
        </w:tc>
      </w:tr>
    </w:tbl>
    <w:p w14:paraId="2C7BA911" w14:textId="58B76AF3" w:rsidR="00684768" w:rsidRPr="00CB2B1F" w:rsidRDefault="00684768" w:rsidP="00684768">
      <w:pPr>
        <w:spacing w:after="0" w:line="276" w:lineRule="auto"/>
        <w:jc w:val="both"/>
        <w:rPr>
          <w:rFonts w:eastAsia="Aptos" w:cstheme="minorHAnsi"/>
          <w:i/>
          <w:iCs/>
          <w:kern w:val="2"/>
          <w:sz w:val="18"/>
          <w:szCs w:val="18"/>
          <w:lang w:val="en-GB"/>
          <w14:ligatures w14:val="standardContextual"/>
        </w:rPr>
      </w:pPr>
      <w:r w:rsidRPr="00CB2B1F">
        <w:rPr>
          <w:rFonts w:eastAsia="Aptos" w:cstheme="minorHAnsi"/>
          <w:i/>
          <w:iCs/>
          <w:kern w:val="2"/>
          <w:sz w:val="18"/>
          <w:szCs w:val="18"/>
          <w:lang w:val="en-GB"/>
          <w14:ligatures w14:val="standardContextual"/>
        </w:rPr>
        <w:t>Fonte: Regional Bank Lending Survey.</w:t>
      </w:r>
    </w:p>
    <w:p w14:paraId="1F11AB06" w14:textId="77777777" w:rsidR="00684768" w:rsidRPr="00063D2B" w:rsidRDefault="00684768" w:rsidP="00684768">
      <w:pPr>
        <w:spacing w:after="120" w:line="276" w:lineRule="auto"/>
        <w:jc w:val="both"/>
        <w:rPr>
          <w:rFonts w:eastAsia="Aptos" w:cstheme="minorHAnsi"/>
          <w:kern w:val="2"/>
          <w:sz w:val="16"/>
          <w:szCs w:val="16"/>
          <w14:ligatures w14:val="standardContextual"/>
        </w:rPr>
      </w:pPr>
      <w:r w:rsidRPr="00063D2B">
        <w:rPr>
          <w:rFonts w:eastAsia="Aptos" w:cstheme="minorHAnsi"/>
          <w:kern w:val="2"/>
          <w:sz w:val="16"/>
          <w:szCs w:val="16"/>
          <w14:ligatures w14:val="standardContextual"/>
        </w:rPr>
        <w:t xml:space="preserve">(1) Valori positivi dell’indice segnalano un irrigidimento dell’offerta; valori negativi un allentamento. L’indice di diffusione è costruito aggregando le risposte qualitative fornite dalle banche partecipanti all’indagine sulla base dei prestiti erogati alle imprese residenti nelle diverse aree geografiche e ha un campo di variazione </w:t>
      </w:r>
      <w:proofErr w:type="gramStart"/>
      <w:r w:rsidRPr="00063D2B">
        <w:rPr>
          <w:rFonts w:eastAsia="Aptos" w:cstheme="minorHAnsi"/>
          <w:kern w:val="2"/>
          <w:sz w:val="16"/>
          <w:szCs w:val="16"/>
          <w14:ligatures w14:val="standardContextual"/>
        </w:rPr>
        <w:t>compreso  tra</w:t>
      </w:r>
      <w:proofErr w:type="gramEnd"/>
      <w:r w:rsidRPr="00063D2B">
        <w:rPr>
          <w:rFonts w:eastAsia="Aptos" w:cstheme="minorHAnsi"/>
          <w:kern w:val="2"/>
          <w:sz w:val="16"/>
          <w:szCs w:val="16"/>
          <w14:ligatures w14:val="standardContextual"/>
        </w:rPr>
        <w:t xml:space="preserve"> -1 e 1.</w:t>
      </w:r>
    </w:p>
    <w:p w14:paraId="03DAC15A"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In questo quadro macro-economico emergono con forza le necessità di interventi di politica economica che possano facilitare l'accesso al credito per le PMI, magari attraverso strumenti di patrimonializzazione o misure di supporto finanziario che migliorino la solidità delle imprese riducendo la loro dipendenza dal debito bancario.</w:t>
      </w:r>
    </w:p>
    <w:p w14:paraId="7A3847B3" w14:textId="0B8C8B3B" w:rsidR="00684768" w:rsidRPr="00063D2B" w:rsidRDefault="00684768" w:rsidP="001C59FF">
      <w:pPr>
        <w:pStyle w:val="Titolo2"/>
        <w:rPr>
          <w:rFonts w:cstheme="minorHAnsi"/>
          <w:b/>
          <w:sz w:val="24"/>
          <w:szCs w:val="24"/>
        </w:rPr>
      </w:pPr>
      <w:bookmarkStart w:id="3" w:name="_Toc192061644"/>
      <w:r w:rsidRPr="00063D2B">
        <w:rPr>
          <w:rFonts w:cstheme="minorHAnsi"/>
          <w:b/>
          <w:sz w:val="24"/>
          <w:szCs w:val="24"/>
        </w:rPr>
        <w:t>LA SITUAZIONE CREDITIZIA NELLE MARCHE</w:t>
      </w:r>
      <w:bookmarkEnd w:id="3"/>
    </w:p>
    <w:p w14:paraId="271EEEE8" w14:textId="567AAE20" w:rsidR="002555E0" w:rsidRPr="00063D2B" w:rsidRDefault="002555E0"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Partendo dal quadro macroeconomico delle Marche, secondo l’indicatore trimestrale dell’economia regionale (ITER</w:t>
      </w:r>
      <w:r w:rsidR="007E3D22">
        <w:rPr>
          <w:rStyle w:val="Rimandonotaapidipagina"/>
          <w:rFonts w:eastAsia="Aptos" w:cstheme="minorHAnsi"/>
          <w:kern w:val="2"/>
          <w14:ligatures w14:val="standardContextual"/>
        </w:rPr>
        <w:footnoteReference w:id="2"/>
      </w:r>
      <w:r w:rsidRPr="00063D2B">
        <w:rPr>
          <w:rFonts w:eastAsia="Aptos" w:cstheme="minorHAnsi"/>
          <w:kern w:val="2"/>
          <w14:ligatures w14:val="standardContextual"/>
        </w:rPr>
        <w:t xml:space="preserve">) elaborato dalla Banca d’Italia nel 2023 il prodotto regionale sarebbe cresciuto in termini reali dello 0,6%, meno che in Italia (0,9% </w:t>
      </w:r>
      <w:r w:rsidR="009841C1">
        <w:rPr>
          <w:rFonts w:eastAsia="Aptos" w:cstheme="minorHAnsi"/>
          <w:kern w:val="2"/>
          <w14:ligatures w14:val="standardContextual"/>
        </w:rPr>
        <w:t>dalle elaborazioni</w:t>
      </w:r>
      <w:r w:rsidRPr="00063D2B">
        <w:rPr>
          <w:rFonts w:eastAsia="Aptos" w:cstheme="minorHAnsi"/>
          <w:kern w:val="2"/>
          <w14:ligatures w14:val="standardContextual"/>
        </w:rPr>
        <w:t xml:space="preserve"> ISTAT) e in rallentamento rispetto all’anno precedente. L’indicatore coincidente Regio-</w:t>
      </w:r>
      <w:proofErr w:type="spellStart"/>
      <w:r w:rsidRPr="00063D2B">
        <w:rPr>
          <w:rFonts w:eastAsia="Aptos" w:cstheme="minorHAnsi"/>
          <w:kern w:val="2"/>
          <w14:ligatures w14:val="standardContextual"/>
        </w:rPr>
        <w:t>coin</w:t>
      </w:r>
      <w:proofErr w:type="spellEnd"/>
      <w:r w:rsidR="007E3D22">
        <w:rPr>
          <w:rStyle w:val="Rimandonotaapidipagina"/>
          <w:rFonts w:eastAsia="Aptos" w:cstheme="minorHAnsi"/>
          <w:kern w:val="2"/>
          <w14:ligatures w14:val="standardContextual"/>
        </w:rPr>
        <w:footnoteReference w:id="3"/>
      </w:r>
      <w:r w:rsidRPr="00063D2B">
        <w:rPr>
          <w:rFonts w:eastAsia="Aptos" w:cstheme="minorHAnsi"/>
          <w:kern w:val="2"/>
          <w14:ligatures w14:val="standardContextual"/>
        </w:rPr>
        <w:t xml:space="preserve"> per le Marche, che coglie l’andamento della componente di fondo del ciclo economico regionale depurandolo dalle componenti erratiche, segnala un progressivo indebolimento dell’attività economica nel 2023 attestandosi su valori negativi nell’ultima parte dell’anno. Nei primi mesi del 2024 l’indicatore si è portato su valori prossimi allo zero.</w:t>
      </w:r>
    </w:p>
    <w:p w14:paraId="5C238C18" w14:textId="0E5EE774" w:rsidR="00684768" w:rsidRDefault="002555E0"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 xml:space="preserve">All’interno di questo scenario </w:t>
      </w:r>
      <w:r w:rsidR="00684768" w:rsidRPr="00063D2B">
        <w:rPr>
          <w:rFonts w:eastAsia="Aptos" w:cstheme="minorHAnsi"/>
          <w:kern w:val="2"/>
          <w14:ligatures w14:val="standardContextual"/>
        </w:rPr>
        <w:t>il contesto creditizio</w:t>
      </w:r>
      <w:r w:rsidRPr="00063D2B">
        <w:rPr>
          <w:rFonts w:eastAsia="Aptos" w:cstheme="minorHAnsi"/>
          <w:kern w:val="2"/>
          <w14:ligatures w14:val="standardContextual"/>
        </w:rPr>
        <w:t xml:space="preserve"> regionale</w:t>
      </w:r>
      <w:r w:rsidR="00684768" w:rsidRPr="00063D2B">
        <w:rPr>
          <w:rFonts w:eastAsia="Aptos" w:cstheme="minorHAnsi"/>
          <w:kern w:val="2"/>
          <w14:ligatures w14:val="standardContextual"/>
        </w:rPr>
        <w:t xml:space="preserve"> del 2023 riflette una contrazione più severa rispetto alla media nazionale, con una riduzione del 3,3% nei prestiti bancari alle imprese. Le PMI locali sono state particolarmente colpite dalla stretta creditizia in quanto la loro struttura patrimoniale è spesso meno solida rispetto a quella delle grandi aziende rendendole così meno attrattive per le banche in un contesto di aumento dei tassi e di maggiore selettività nel credito. La conseguenza diretta è stata una riduzione delle capacità di investimento e di crescita delle PMI che si è tradotta in un freno all'innovazione e alla competitività dell’intero sistema produttivo regionale.</w:t>
      </w:r>
    </w:p>
    <w:p w14:paraId="6DC735C7" w14:textId="1A4DAF4F" w:rsidR="00CE60A3" w:rsidRPr="00D33902" w:rsidRDefault="00CE60A3" w:rsidP="00CE60A3">
      <w:pPr>
        <w:spacing w:after="0" w:line="240" w:lineRule="auto"/>
        <w:ind w:left="1560"/>
        <w:jc w:val="both"/>
        <w:rPr>
          <w:rFonts w:eastAsia="Aptos" w:cstheme="minorHAnsi"/>
          <w:i/>
          <w:iCs/>
          <w:kern w:val="2"/>
          <w:sz w:val="20"/>
          <w:szCs w:val="20"/>
          <w14:ligatures w14:val="standardContextual"/>
        </w:rPr>
      </w:pPr>
      <w:r>
        <w:rPr>
          <w:rFonts w:eastAsia="Aptos" w:cstheme="minorHAnsi"/>
          <w:i/>
          <w:iCs/>
          <w:kern w:val="2"/>
          <w:sz w:val="20"/>
          <w:szCs w:val="20"/>
          <w14:ligatures w14:val="standardContextual"/>
        </w:rPr>
        <w:t>Fig</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1</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Prestiti bancari alle imprese</w:t>
      </w:r>
    </w:p>
    <w:p w14:paraId="5AC26E7A" w14:textId="77777777" w:rsidR="00684768" w:rsidRPr="00063D2B" w:rsidRDefault="00684768" w:rsidP="00684768">
      <w:pPr>
        <w:spacing w:after="0" w:line="240" w:lineRule="auto"/>
        <w:jc w:val="center"/>
        <w:rPr>
          <w:rFonts w:eastAsia="Aptos" w:cstheme="minorHAnsi"/>
          <w:kern w:val="2"/>
          <w14:ligatures w14:val="standardContextual"/>
        </w:rPr>
      </w:pPr>
      <w:r w:rsidRPr="00063D2B">
        <w:rPr>
          <w:rFonts w:eastAsia="Aptos" w:cstheme="minorHAnsi"/>
          <w:noProof/>
          <w:kern w:val="2"/>
          <w14:ligatures w14:val="standardContextual"/>
        </w:rPr>
        <w:lastRenderedPageBreak/>
        <w:drawing>
          <wp:inline distT="0" distB="0" distL="0" distR="0" wp14:anchorId="1D0A20E4" wp14:editId="289C9442">
            <wp:extent cx="4152900" cy="2337036"/>
            <wp:effectExtent l="0" t="0" r="0" b="6350"/>
            <wp:docPr id="1205277060" name="Immagine 1" descr="Immagine che contiene testo, schermata, Diagramma, 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77060" name="Immagine 1" descr="Immagine che contiene testo, schermata, Diagramma, linea"/>
                    <pic:cNvPicPr/>
                  </pic:nvPicPr>
                  <pic:blipFill>
                    <a:blip r:embed="rId8"/>
                    <a:stretch>
                      <a:fillRect/>
                    </a:stretch>
                  </pic:blipFill>
                  <pic:spPr>
                    <a:xfrm>
                      <a:off x="0" y="0"/>
                      <a:ext cx="4189846" cy="2357827"/>
                    </a:xfrm>
                    <a:prstGeom prst="rect">
                      <a:avLst/>
                    </a:prstGeom>
                  </pic:spPr>
                </pic:pic>
              </a:graphicData>
            </a:graphic>
          </wp:inline>
        </w:drawing>
      </w:r>
    </w:p>
    <w:p w14:paraId="70151E87" w14:textId="77777777" w:rsidR="00684768" w:rsidRPr="00063D2B" w:rsidRDefault="00684768" w:rsidP="00063D2B">
      <w:pPr>
        <w:spacing w:after="0" w:line="276" w:lineRule="auto"/>
        <w:ind w:left="1560"/>
        <w:jc w:val="both"/>
        <w:rPr>
          <w:rFonts w:eastAsia="Aptos" w:cstheme="minorHAnsi"/>
          <w:i/>
          <w:iCs/>
          <w:kern w:val="2"/>
          <w:sz w:val="18"/>
          <w:szCs w:val="18"/>
          <w14:ligatures w14:val="standardContextual"/>
        </w:rPr>
      </w:pPr>
      <w:r w:rsidRPr="00063D2B">
        <w:rPr>
          <w:rFonts w:eastAsia="Aptos" w:cstheme="minorHAnsi"/>
          <w:i/>
          <w:iCs/>
          <w:kern w:val="2"/>
          <w:sz w:val="18"/>
          <w:szCs w:val="18"/>
          <w14:ligatures w14:val="standardContextual"/>
        </w:rPr>
        <w:t>Fonte: Banca d’Italia, L’economia delle Marche Rapporto annuale, giugno 2024</w:t>
      </w:r>
    </w:p>
    <w:p w14:paraId="75410392" w14:textId="77777777" w:rsidR="00684768" w:rsidRPr="00063D2B" w:rsidRDefault="00684768" w:rsidP="00684768">
      <w:pPr>
        <w:spacing w:after="120" w:line="240" w:lineRule="auto"/>
        <w:ind w:left="1559" w:right="1559"/>
        <w:jc w:val="both"/>
        <w:rPr>
          <w:rFonts w:eastAsia="Aptos" w:cstheme="minorHAnsi"/>
          <w:i/>
          <w:iCs/>
          <w:kern w:val="2"/>
          <w:sz w:val="16"/>
          <w:szCs w:val="16"/>
          <w14:ligatures w14:val="standardContextual"/>
        </w:rPr>
      </w:pPr>
      <w:r w:rsidRPr="00063D2B">
        <w:rPr>
          <w:rFonts w:eastAsia="Aptos" w:cstheme="minorHAnsi"/>
          <w:i/>
          <w:iCs/>
          <w:kern w:val="2"/>
          <w:sz w:val="16"/>
          <w:szCs w:val="16"/>
          <w14:ligatures w14:val="standardContextual"/>
        </w:rPr>
        <w:t>(1) I dati riferiti a marzo 2024 sono provvisori. – (2) Società in accomandita semplice e in nome collettivo, società semplici, società di fatto e imprese individuali con numero di addetti inferiore a 20. – (3) Il totale include anche i settori primario ed estrattivo, la fornitura di energia elettrica, gas e acqua e le attività economiche non classificate e non classificabili</w:t>
      </w:r>
    </w:p>
    <w:p w14:paraId="1C42C43A" w14:textId="77777777" w:rsidR="00526ADE" w:rsidRPr="00063D2B" w:rsidRDefault="00526ADE" w:rsidP="00F87920">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Come evidenziato dalla figura che segue l</w:t>
      </w:r>
      <w:r w:rsidR="00967168" w:rsidRPr="00063D2B">
        <w:rPr>
          <w:rFonts w:eastAsia="Aptos" w:cstheme="minorHAnsi"/>
          <w:kern w:val="2"/>
          <w14:ligatures w14:val="standardContextual"/>
        </w:rPr>
        <w:t>a domanda di prestiti da parte delle imprese ha mostrato un forte calo nel primo semestre</w:t>
      </w:r>
      <w:r w:rsidRPr="00063D2B">
        <w:rPr>
          <w:rFonts w:eastAsia="Aptos" w:cstheme="minorHAnsi"/>
          <w:kern w:val="2"/>
          <w14:ligatures w14:val="standardContextual"/>
        </w:rPr>
        <w:t xml:space="preserve"> del 2023</w:t>
      </w:r>
      <w:r w:rsidR="00967168" w:rsidRPr="00063D2B">
        <w:rPr>
          <w:rFonts w:eastAsia="Aptos" w:cstheme="minorHAnsi"/>
          <w:kern w:val="2"/>
          <w14:ligatures w14:val="standardContextual"/>
        </w:rPr>
        <w:t xml:space="preserve"> per poi aumentare lievemente nel secondo (</w:t>
      </w:r>
      <w:r w:rsidRPr="00063D2B">
        <w:rPr>
          <w:rFonts w:eastAsia="Aptos" w:cstheme="minorHAnsi"/>
          <w:kern w:val="2"/>
          <w14:ligatures w14:val="standardContextual"/>
        </w:rPr>
        <w:t xml:space="preserve">cfr. </w:t>
      </w:r>
      <w:r w:rsidR="00967168" w:rsidRPr="00063D2B">
        <w:rPr>
          <w:rFonts w:eastAsia="Aptos" w:cstheme="minorHAnsi"/>
          <w:i/>
          <w:iCs/>
          <w:kern w:val="2"/>
          <w14:ligatures w14:val="standardContextual"/>
        </w:rPr>
        <w:t>a</w:t>
      </w:r>
      <w:r w:rsidRPr="00063D2B">
        <w:rPr>
          <w:rFonts w:eastAsia="Aptos" w:cstheme="minorHAnsi"/>
          <w:i/>
          <w:iCs/>
          <w:kern w:val="2"/>
          <w14:ligatures w14:val="standardContextual"/>
        </w:rPr>
        <w:t>. Andamento della domandi di credito</w:t>
      </w:r>
      <w:r w:rsidR="00967168" w:rsidRPr="00063D2B">
        <w:rPr>
          <w:rFonts w:eastAsia="Aptos" w:cstheme="minorHAnsi"/>
          <w:kern w:val="2"/>
          <w14:ligatures w14:val="standardContextual"/>
        </w:rPr>
        <w:t>). La debolezza della domanda ha interessato tutti i principali settori di attività economica ed è stata determinata, in un contesto di generale rialzo dei tassi di interesse, dal minor fabbisogno finanziario legato al rallentamento degli investimenti e alla ristrutturazione delle posizioni debitorie pregresse (</w:t>
      </w:r>
      <w:r w:rsidRPr="00063D2B">
        <w:rPr>
          <w:rFonts w:eastAsia="Aptos" w:cstheme="minorHAnsi"/>
          <w:kern w:val="2"/>
          <w14:ligatures w14:val="standardContextual"/>
        </w:rPr>
        <w:t xml:space="preserve">cfr. </w:t>
      </w:r>
      <w:r w:rsidRPr="00063D2B">
        <w:rPr>
          <w:rFonts w:eastAsia="Aptos" w:cstheme="minorHAnsi"/>
          <w:i/>
          <w:iCs/>
          <w:kern w:val="2"/>
          <w14:ligatures w14:val="standardContextual"/>
        </w:rPr>
        <w:t>b. Determinanti della domanda di credito</w:t>
      </w:r>
      <w:r w:rsidR="00967168" w:rsidRPr="00063D2B">
        <w:rPr>
          <w:rFonts w:eastAsia="Aptos" w:cstheme="minorHAnsi"/>
          <w:kern w:val="2"/>
          <w14:ligatures w14:val="standardContextual"/>
        </w:rPr>
        <w:t>).</w:t>
      </w:r>
    </w:p>
    <w:p w14:paraId="31E6C42F" w14:textId="486EB1CC" w:rsidR="00967168" w:rsidRPr="00063D2B" w:rsidRDefault="00967168" w:rsidP="00F87920">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L’aumentato onere del debito ha avuto, tra gli altri, anche l’effetto di rendere meno conveniente il rinnovo dei debiti in scadenza</w:t>
      </w:r>
    </w:p>
    <w:p w14:paraId="449E2A9D" w14:textId="77777777" w:rsidR="00CE60A3" w:rsidRDefault="00CE60A3" w:rsidP="00F87920">
      <w:pPr>
        <w:spacing w:after="120" w:line="276" w:lineRule="auto"/>
        <w:jc w:val="both"/>
        <w:rPr>
          <w:rFonts w:eastAsia="Aptos" w:cstheme="minorHAnsi"/>
          <w:kern w:val="2"/>
          <w14:ligatures w14:val="standardContextual"/>
        </w:rPr>
      </w:pPr>
    </w:p>
    <w:p w14:paraId="03560B60" w14:textId="23811086" w:rsidR="00CE60A3" w:rsidRPr="00CE60A3" w:rsidRDefault="00CE60A3" w:rsidP="00CE60A3">
      <w:pPr>
        <w:spacing w:after="0" w:line="240" w:lineRule="auto"/>
        <w:ind w:left="1560"/>
        <w:jc w:val="both"/>
        <w:rPr>
          <w:rFonts w:eastAsia="Aptos" w:cstheme="minorHAnsi"/>
          <w:i/>
          <w:iCs/>
          <w:kern w:val="2"/>
          <w:sz w:val="20"/>
          <w:szCs w:val="20"/>
          <w14:ligatures w14:val="standardContextual"/>
        </w:rPr>
      </w:pPr>
      <w:r>
        <w:rPr>
          <w:rFonts w:eastAsia="Aptos" w:cstheme="minorHAnsi"/>
          <w:i/>
          <w:iCs/>
          <w:kern w:val="2"/>
          <w:sz w:val="20"/>
          <w:szCs w:val="20"/>
          <w14:ligatures w14:val="standardContextual"/>
        </w:rPr>
        <w:t>Fig</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2</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Condizioni del credito alle imprese</w:t>
      </w:r>
    </w:p>
    <w:p w14:paraId="6BC13694" w14:textId="1271D656" w:rsidR="00A76DE8" w:rsidRPr="00063D2B" w:rsidRDefault="00A76DE8" w:rsidP="00197470">
      <w:pPr>
        <w:spacing w:after="0" w:line="240" w:lineRule="auto"/>
        <w:jc w:val="center"/>
        <w:rPr>
          <w:rFonts w:eastAsia="Aptos" w:cstheme="minorHAnsi"/>
          <w:kern w:val="2"/>
          <w14:ligatures w14:val="standardContextual"/>
        </w:rPr>
      </w:pPr>
      <w:r w:rsidRPr="00063D2B">
        <w:rPr>
          <w:rFonts w:eastAsia="Aptos" w:cstheme="minorHAnsi"/>
          <w:noProof/>
          <w:kern w:val="2"/>
          <w14:ligatures w14:val="standardContextual"/>
        </w:rPr>
        <w:drawing>
          <wp:inline distT="0" distB="0" distL="0" distR="0" wp14:anchorId="1E542717" wp14:editId="128C3B21">
            <wp:extent cx="4161197" cy="2336400"/>
            <wp:effectExtent l="0" t="0" r="0" b="6985"/>
            <wp:docPr id="1531525995" name="Immagine 4" descr="Immagine che contiene testo, schermata, Diagramma, linea&#10;&#10;Descrizione generata automaticamente">
              <a:extLst xmlns:a="http://schemas.openxmlformats.org/drawingml/2006/main">
                <a:ext uri="{FF2B5EF4-FFF2-40B4-BE49-F238E27FC236}">
                  <a16:creationId xmlns:a16="http://schemas.microsoft.com/office/drawing/2014/main" id="{AED1DE91-24D8-E80B-621A-BBFCBB53B3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25995" name="Immagine 4" descr="Immagine che contiene testo, schermata, Diagramma, linea&#10;&#10;Descrizione generata automaticamente">
                      <a:extLst>
                        <a:ext uri="{FF2B5EF4-FFF2-40B4-BE49-F238E27FC236}">
                          <a16:creationId xmlns:a16="http://schemas.microsoft.com/office/drawing/2014/main" id="{AED1DE91-24D8-E80B-621A-BBFCBB53B3B3}"/>
                        </a:ext>
                      </a:extLst>
                    </pic:cNvPr>
                    <pic:cNvPicPr>
                      <a:picLocks noChangeAspect="1"/>
                    </pic:cNvPicPr>
                  </pic:nvPicPr>
                  <pic:blipFill>
                    <a:blip r:embed="rId9"/>
                    <a:srcRect t="478" b="1"/>
                    <a:stretch/>
                  </pic:blipFill>
                  <pic:spPr>
                    <a:xfrm>
                      <a:off x="0" y="0"/>
                      <a:ext cx="4161197" cy="2336400"/>
                    </a:xfrm>
                    <a:prstGeom prst="rect">
                      <a:avLst/>
                    </a:prstGeom>
                  </pic:spPr>
                </pic:pic>
              </a:graphicData>
            </a:graphic>
          </wp:inline>
        </w:drawing>
      </w:r>
    </w:p>
    <w:p w14:paraId="7076794E" w14:textId="644530A2" w:rsidR="00197470" w:rsidRPr="00CB2B1F" w:rsidRDefault="00197470" w:rsidP="00967168">
      <w:pPr>
        <w:spacing w:after="120" w:line="240" w:lineRule="auto"/>
        <w:ind w:left="1559" w:right="1418"/>
        <w:jc w:val="both"/>
        <w:rPr>
          <w:rFonts w:eastAsia="Aptos" w:cstheme="minorHAnsi"/>
          <w:i/>
          <w:iCs/>
          <w:kern w:val="2"/>
          <w:sz w:val="18"/>
          <w:szCs w:val="18"/>
          <w:lang w:val="en-GB"/>
          <w14:ligatures w14:val="standardContextual"/>
        </w:rPr>
      </w:pPr>
      <w:r w:rsidRPr="00CB2B1F">
        <w:rPr>
          <w:rFonts w:eastAsia="Aptos" w:cstheme="minorHAnsi"/>
          <w:i/>
          <w:iCs/>
          <w:kern w:val="2"/>
          <w:sz w:val="18"/>
          <w:szCs w:val="18"/>
          <w:lang w:val="en-GB"/>
          <w14:ligatures w14:val="standardContextual"/>
        </w:rPr>
        <w:t xml:space="preserve">Fonte: </w:t>
      </w:r>
      <w:r w:rsidR="00063D2B" w:rsidRPr="00CB2B1F">
        <w:rPr>
          <w:rFonts w:eastAsia="Aptos" w:cstheme="minorHAnsi"/>
          <w:i/>
          <w:iCs/>
          <w:kern w:val="2"/>
          <w:sz w:val="18"/>
          <w:szCs w:val="18"/>
          <w:lang w:val="en-GB"/>
          <w14:ligatures w14:val="standardContextual"/>
        </w:rPr>
        <w:t>Fonte: Regional Bank Lending Survey (RBLS)</w:t>
      </w:r>
    </w:p>
    <w:p w14:paraId="126F13F4" w14:textId="67EEB772" w:rsidR="00526ADE" w:rsidRDefault="00063D2B" w:rsidP="00684768">
      <w:pPr>
        <w:spacing w:after="120" w:line="276" w:lineRule="auto"/>
        <w:jc w:val="both"/>
        <w:rPr>
          <w:rFonts w:eastAsia="Aptos" w:cstheme="minorHAnsi"/>
          <w:kern w:val="2"/>
          <w14:ligatures w14:val="standardContextual"/>
        </w:rPr>
      </w:pPr>
      <w:r>
        <w:rPr>
          <w:rFonts w:eastAsia="Aptos" w:cstheme="minorHAnsi"/>
          <w:kern w:val="2"/>
          <w14:ligatures w14:val="standardContextual"/>
        </w:rPr>
        <w:t>Per ciò che riguarda l</w:t>
      </w:r>
      <w:r w:rsidR="00526ADE" w:rsidRPr="00063D2B">
        <w:rPr>
          <w:rFonts w:eastAsia="Aptos" w:cstheme="minorHAnsi"/>
          <w:kern w:val="2"/>
          <w14:ligatures w14:val="standardContextual"/>
        </w:rPr>
        <w:t>e politiche di offerta degli intermediari nei confronti delle imprese</w:t>
      </w:r>
      <w:r>
        <w:rPr>
          <w:rFonts w:eastAsia="Aptos" w:cstheme="minorHAnsi"/>
          <w:kern w:val="2"/>
          <w14:ligatures w14:val="standardContextual"/>
        </w:rPr>
        <w:t xml:space="preserve"> nel 2023</w:t>
      </w:r>
      <w:r w:rsidR="00526ADE" w:rsidRPr="00063D2B">
        <w:rPr>
          <w:rFonts w:eastAsia="Aptos" w:cstheme="minorHAnsi"/>
          <w:kern w:val="2"/>
          <w14:ligatures w14:val="standardContextual"/>
        </w:rPr>
        <w:t xml:space="preserve"> sono rimaste nel complesso improntate alla prudenza in particolare quelle</w:t>
      </w:r>
      <w:r>
        <w:rPr>
          <w:rFonts w:eastAsia="Aptos" w:cstheme="minorHAnsi"/>
          <w:kern w:val="2"/>
          <w14:ligatures w14:val="standardContextual"/>
        </w:rPr>
        <w:t xml:space="preserve"> verso il settore</w:t>
      </w:r>
      <w:r w:rsidR="00526ADE" w:rsidRPr="00063D2B">
        <w:rPr>
          <w:rFonts w:eastAsia="Aptos" w:cstheme="minorHAnsi"/>
          <w:kern w:val="2"/>
          <w14:ligatures w14:val="standardContextual"/>
        </w:rPr>
        <w:t xml:space="preserve"> delle costruzioni (</w:t>
      </w:r>
      <w:r>
        <w:rPr>
          <w:rFonts w:eastAsia="Aptos" w:cstheme="minorHAnsi"/>
          <w:kern w:val="2"/>
          <w14:ligatures w14:val="standardContextual"/>
        </w:rPr>
        <w:t xml:space="preserve">cfr. </w:t>
      </w:r>
      <w:r w:rsidR="00526ADE" w:rsidRPr="00063D2B">
        <w:rPr>
          <w:rFonts w:eastAsia="Aptos" w:cstheme="minorHAnsi"/>
          <w:kern w:val="2"/>
          <w14:ligatures w14:val="standardContextual"/>
        </w:rPr>
        <w:t>c</w:t>
      </w:r>
      <w:r>
        <w:rPr>
          <w:rFonts w:eastAsia="Aptos" w:cstheme="minorHAnsi"/>
          <w:kern w:val="2"/>
          <w14:ligatures w14:val="standardContextual"/>
        </w:rPr>
        <w:t xml:space="preserve">. </w:t>
      </w:r>
      <w:r w:rsidRPr="00063D2B">
        <w:rPr>
          <w:rFonts w:eastAsia="Aptos" w:cstheme="minorHAnsi"/>
          <w:i/>
          <w:iCs/>
          <w:kern w:val="2"/>
          <w14:ligatures w14:val="standardContextual"/>
        </w:rPr>
        <w:t>Andamento dell’offerta di credito</w:t>
      </w:r>
      <w:r w:rsidR="00526ADE" w:rsidRPr="00063D2B">
        <w:rPr>
          <w:rFonts w:eastAsia="Aptos" w:cstheme="minorHAnsi"/>
          <w:kern w:val="2"/>
          <w14:ligatures w14:val="standardContextual"/>
        </w:rPr>
        <w:t xml:space="preserve">). </w:t>
      </w:r>
      <w:r w:rsidR="00017126">
        <w:rPr>
          <w:rFonts w:eastAsia="Aptos" w:cstheme="minorHAnsi"/>
          <w:kern w:val="2"/>
          <w14:ligatures w14:val="standardContextual"/>
        </w:rPr>
        <w:t xml:space="preserve">Questo approccio alla cautela si </w:t>
      </w:r>
      <w:r w:rsidR="00526ADE" w:rsidRPr="00063D2B">
        <w:rPr>
          <w:rFonts w:eastAsia="Aptos" w:cstheme="minorHAnsi"/>
          <w:kern w:val="2"/>
          <w14:ligatures w14:val="standardContextual"/>
        </w:rPr>
        <w:t xml:space="preserve">è tradotto principalmente nella riduzione delle quantità concesse e nell’applicazione di </w:t>
      </w:r>
      <w:r w:rsidR="00526ADE" w:rsidRPr="00017126">
        <w:rPr>
          <w:rFonts w:eastAsia="Aptos" w:cstheme="minorHAnsi"/>
          <w:i/>
          <w:iCs/>
          <w:kern w:val="2"/>
          <w14:ligatures w14:val="standardContextual"/>
        </w:rPr>
        <w:t>spread</w:t>
      </w:r>
      <w:r w:rsidR="00526ADE" w:rsidRPr="00063D2B">
        <w:rPr>
          <w:rFonts w:eastAsia="Aptos" w:cstheme="minorHAnsi"/>
          <w:kern w:val="2"/>
          <w14:ligatures w14:val="standardContextual"/>
        </w:rPr>
        <w:t xml:space="preserve"> più elevati sulle posizioni giudicate dagli intermediari più rischiose (</w:t>
      </w:r>
      <w:r w:rsidR="00017126">
        <w:rPr>
          <w:rFonts w:eastAsia="Aptos" w:cstheme="minorHAnsi"/>
          <w:kern w:val="2"/>
          <w14:ligatures w14:val="standardContextual"/>
        </w:rPr>
        <w:t xml:space="preserve">cfr. </w:t>
      </w:r>
      <w:r w:rsidR="00526ADE" w:rsidRPr="00063D2B">
        <w:rPr>
          <w:rFonts w:eastAsia="Aptos" w:cstheme="minorHAnsi"/>
          <w:kern w:val="2"/>
          <w14:ligatures w14:val="standardContextual"/>
        </w:rPr>
        <w:t>d</w:t>
      </w:r>
      <w:r w:rsidR="00017126">
        <w:rPr>
          <w:rFonts w:eastAsia="Aptos" w:cstheme="minorHAnsi"/>
          <w:kern w:val="2"/>
          <w14:ligatures w14:val="standardContextual"/>
        </w:rPr>
        <w:t xml:space="preserve">. </w:t>
      </w:r>
      <w:r w:rsidR="00017126" w:rsidRPr="00017126">
        <w:rPr>
          <w:rFonts w:eastAsia="Aptos" w:cstheme="minorHAnsi"/>
          <w:i/>
          <w:iCs/>
          <w:kern w:val="2"/>
          <w14:ligatures w14:val="standardContextual"/>
        </w:rPr>
        <w:t>Modalità di restrizione</w:t>
      </w:r>
      <w:r w:rsidR="00526ADE" w:rsidRPr="00063D2B">
        <w:rPr>
          <w:rFonts w:eastAsia="Aptos" w:cstheme="minorHAnsi"/>
          <w:kern w:val="2"/>
          <w14:ligatures w14:val="standardContextual"/>
        </w:rPr>
        <w:t>).</w:t>
      </w:r>
    </w:p>
    <w:p w14:paraId="74DC8F2A" w14:textId="49FD36FF" w:rsidR="00CE60A3" w:rsidRPr="00CE60A3" w:rsidRDefault="00CE60A3" w:rsidP="00CE60A3">
      <w:pPr>
        <w:spacing w:after="0" w:line="240" w:lineRule="auto"/>
        <w:ind w:left="1560"/>
        <w:jc w:val="both"/>
        <w:rPr>
          <w:rFonts w:eastAsia="Aptos" w:cstheme="minorHAnsi"/>
          <w:i/>
          <w:iCs/>
          <w:kern w:val="2"/>
          <w:sz w:val="20"/>
          <w:szCs w:val="20"/>
          <w14:ligatures w14:val="standardContextual"/>
        </w:rPr>
      </w:pPr>
      <w:r>
        <w:rPr>
          <w:rFonts w:eastAsia="Aptos" w:cstheme="minorHAnsi"/>
          <w:i/>
          <w:iCs/>
          <w:kern w:val="2"/>
          <w:sz w:val="20"/>
          <w:szCs w:val="20"/>
          <w14:ligatures w14:val="standardContextual"/>
        </w:rPr>
        <w:lastRenderedPageBreak/>
        <w:t>Fig</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3</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Andamento dell’offerta di credito e modalità di restrizione</w:t>
      </w:r>
    </w:p>
    <w:p w14:paraId="733AB058" w14:textId="36476F2F" w:rsidR="00526ADE" w:rsidRPr="00063D2B" w:rsidRDefault="00063D2B" w:rsidP="00063D2B">
      <w:pPr>
        <w:spacing w:after="0" w:line="240" w:lineRule="auto"/>
        <w:jc w:val="center"/>
        <w:rPr>
          <w:rFonts w:eastAsia="Aptos" w:cstheme="minorHAnsi"/>
          <w:kern w:val="2"/>
          <w14:ligatures w14:val="standardContextual"/>
        </w:rPr>
      </w:pPr>
      <w:r w:rsidRPr="00063D2B">
        <w:rPr>
          <w:rFonts w:eastAsia="Aptos" w:cstheme="minorHAnsi"/>
          <w:noProof/>
          <w:kern w:val="2"/>
          <w14:ligatures w14:val="standardContextual"/>
        </w:rPr>
        <w:drawing>
          <wp:inline distT="0" distB="0" distL="0" distR="0" wp14:anchorId="59CA42F8" wp14:editId="5F7F1DA2">
            <wp:extent cx="4161600" cy="2305540"/>
            <wp:effectExtent l="0" t="0" r="0" b="0"/>
            <wp:docPr id="5236140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1600" cy="2305540"/>
                    </a:xfrm>
                    <a:prstGeom prst="rect">
                      <a:avLst/>
                    </a:prstGeom>
                    <a:noFill/>
                  </pic:spPr>
                </pic:pic>
              </a:graphicData>
            </a:graphic>
          </wp:inline>
        </w:drawing>
      </w:r>
    </w:p>
    <w:p w14:paraId="3FBCE325" w14:textId="1DBF526D" w:rsidR="00063D2B" w:rsidRPr="00CB2B1F" w:rsidRDefault="00063D2B" w:rsidP="00063D2B">
      <w:pPr>
        <w:spacing w:after="120" w:line="240" w:lineRule="auto"/>
        <w:ind w:left="1559" w:right="1418"/>
        <w:jc w:val="both"/>
        <w:rPr>
          <w:rFonts w:eastAsia="Aptos" w:cstheme="minorHAnsi"/>
          <w:i/>
          <w:iCs/>
          <w:kern w:val="2"/>
          <w:sz w:val="18"/>
          <w:szCs w:val="18"/>
          <w:lang w:val="en-GB"/>
          <w14:ligatures w14:val="standardContextual"/>
        </w:rPr>
      </w:pPr>
      <w:r w:rsidRPr="00CB2B1F">
        <w:rPr>
          <w:rFonts w:eastAsia="Aptos" w:cstheme="minorHAnsi"/>
          <w:i/>
          <w:iCs/>
          <w:kern w:val="2"/>
          <w:sz w:val="18"/>
          <w:szCs w:val="18"/>
          <w:lang w:val="en-GB"/>
          <w14:ligatures w14:val="standardContextual"/>
        </w:rPr>
        <w:t>Fonte: Fonte: Regional Bank Lending Survey (RBLS)</w:t>
      </w:r>
    </w:p>
    <w:p w14:paraId="5A32F2D8" w14:textId="3983F945"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Le imprese marchigiane, in particolare quelle operanti nei settori tradizionalmente forti come il manifatturiero e le costruzioni, si trovano in difficoltà nel mantenere il ritmo degli investimenti necessari per restare competitive. La crescente difficoltà di accesso al credito ha spinto molte PMI a rinviare o ridimensionare i loro piani di investimento preferendo l'autofinanziamento o il rinvio di progetti di espansione e di aggiornamento tecnologico. Questa tendenza rappresenta un rischio per la competitività regionale, poiché riduce la capacità delle imprese di adattarsi ai cambiamenti strutturali e tecnologici del mercato globale.</w:t>
      </w:r>
    </w:p>
    <w:p w14:paraId="6F9B3D94" w14:textId="39816C0C"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 xml:space="preserve">Nonostante queste difficoltà, alcune aziende delle Marche hanno beneficiato del programma </w:t>
      </w:r>
      <w:r w:rsidRPr="00063D2B">
        <w:rPr>
          <w:rFonts w:eastAsia="Aptos" w:cstheme="minorHAnsi"/>
          <w:i/>
          <w:iCs/>
          <w:kern w:val="2"/>
          <w14:ligatures w14:val="standardContextual"/>
        </w:rPr>
        <w:t>Transizione 4.0 - Crediti d'imposta per stimolare gli investimenti</w:t>
      </w:r>
      <w:r w:rsidRPr="00063D2B">
        <w:rPr>
          <w:vertAlign w:val="superscript"/>
        </w:rPr>
        <w:footnoteReference w:id="4"/>
      </w:r>
      <w:r w:rsidRPr="00063D2B">
        <w:rPr>
          <w:rFonts w:eastAsia="Aptos" w:cstheme="minorHAnsi"/>
          <w:kern w:val="2"/>
          <w14:ligatures w14:val="standardContextual"/>
        </w:rPr>
        <w:t xml:space="preserve"> un'iniziativa nazionale volta a stimolare l'adozione di tecnologie avanzate attraverso agevolazioni fiscali e incentivi mirati. Circa il 40% delle imprese marchigiane ha sfruttato queste agevolazioni per investire in tecnologie come l'automazione e la digitalizzazione con l'obiettivo di migliorare l'efficienza operativa e incrementare la produttività. Ciononostante, l'impatto di questi incentivi è stato parzialmente limitato dalle difficoltà creditizie soprattutto per le PMI che non dispongono delle risorse interne necessarie per co-finanziare tali investimenti. La partecipazione al programma ha, inoltre, evidenziato che una quota importante di aziende (30%) ha destinato almeno un quinto della spesa all’acquisizione di tecnologie avanzate. In particolare, circa il 20% utilizza l’intelligenza artificiale, prevalentemente di tipo predittivo, o ne prevede l’adozione: questa quota sale al 30% con riferimento al settore della robotica. Queste tecnologie sono ritenute dalle imprese rilevanti per il miglioramento dei processi produttivi e il rafforzamento della qualità e dell’affidabilità dei processi di supporto all’attività favorendo e supportando la competitività. Le aziende stanno, inoltre, progressivamente adottando strategie per limitare futuri rischi connessi con l’approvvigionamento degli input produttivi, come l’aumento del numero di fornitori e delle </w:t>
      </w:r>
      <w:r w:rsidR="005809D7" w:rsidRPr="00063D2B">
        <w:rPr>
          <w:rFonts w:eastAsia="Aptos" w:cstheme="minorHAnsi"/>
          <w:kern w:val="2"/>
          <w14:ligatures w14:val="standardContextual"/>
        </w:rPr>
        <w:t>scorte.</w:t>
      </w:r>
    </w:p>
    <w:p w14:paraId="3196534C"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La situazione attuale evidenzia la necessità di politiche di supporto mirate che facilitino l’accesso al credito per le PMI marchigiane, promuovendo una maggiore patrimonializzazione e migliorando la loro capacità di ottenere finanziamenti bancari. Questo approccio è essenziale per incentivare la crescita e l’innovazione in un contesto economico complesso dove le PMI rappresentano il motore principale dello sviluppo regionale. Interventi specifici volti a sostenere le imprese nella fase di transizione digitale e nel miglioramento della sostenibilità aziendale, nonché misure per ridurre il costo del capitale, possono contribuire a migliorare la resilienza del tessuto imprenditoriale marchigiano.</w:t>
      </w:r>
    </w:p>
    <w:p w14:paraId="6F066040"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lastRenderedPageBreak/>
        <w:t>A lungo termine, la riduzione delle barriere all’accesso al credito è cruciale per evitare un ulteriore indebolimento del tessuto economico regionale. Le PMI marchigiane, pur mostrando una capacità di adattamento significativa, richiedono una stabilità finanziaria che possa supportarle nei processi di investimento e modernizzazione. Favorire l'accumulazione di capitale fisso e migliorare l'accesso a finanziamenti bancari agevolati sono elementi chiave per promuovere uno sviluppo sostenibile e inclusivo, in linea con gli obiettivi strategici della Regione Marche e delle politiche europee di coesione.</w:t>
      </w:r>
    </w:p>
    <w:p w14:paraId="62A768B1" w14:textId="77777777" w:rsidR="00684768" w:rsidRPr="00063D2B" w:rsidRDefault="00684768" w:rsidP="001C59FF">
      <w:pPr>
        <w:pStyle w:val="Titolo2"/>
        <w:rPr>
          <w:rFonts w:cstheme="minorHAnsi"/>
          <w:b/>
          <w:sz w:val="24"/>
          <w:szCs w:val="24"/>
        </w:rPr>
      </w:pPr>
      <w:bookmarkStart w:id="4" w:name="_Toc192061645"/>
      <w:r w:rsidRPr="00063D2B">
        <w:rPr>
          <w:rFonts w:cstheme="minorHAnsi"/>
          <w:b/>
          <w:sz w:val="24"/>
          <w:szCs w:val="24"/>
        </w:rPr>
        <w:t>L’ANDAMENTO DEGLI INVESTIMENTI DELLE IMPRESE A LIVELLO NAZIONALE E REGIONALE</w:t>
      </w:r>
      <w:bookmarkEnd w:id="4"/>
    </w:p>
    <w:p w14:paraId="4B682870"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Gli investimenti delle imprese italiane hanno continuato a mostrare segni di crescita nel 2023 sebbene a un ritmo più moderato rispetto all'anno precedente. Il tasso di crescita degli investimenti è stato del 4,7%, una decelerazione rispetto al periodo precedente, influenzata dalle condizioni finanziarie restrittive e dall’incertezza economica che hanno caratterizzato il contesto globale. Questo rallentamento è particolarmente evidente nel settore delle costruzioni, dove gli investimenti sono aumentati solo del 3,1% nel 2023 a fronte dell’11,8% registrato nel 2022. La riduzione della crescita negli investimenti in costruzioni è attribuibile all'aumento dei costi di finanziamento e al rallentamento della domanda che ha indotto le imprese a rivedere i propri piani di espansione e ristrutturazione.</w:t>
      </w:r>
    </w:p>
    <w:p w14:paraId="75E43E3B" w14:textId="6F73FDED" w:rsidR="00684768"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 xml:space="preserve">Nella regione Marche </w:t>
      </w:r>
      <w:r w:rsidR="005809D7" w:rsidRPr="00063D2B">
        <w:rPr>
          <w:rFonts w:eastAsia="Aptos" w:cstheme="minorHAnsi"/>
          <w:kern w:val="2"/>
          <w14:ligatures w14:val="standardContextual"/>
        </w:rPr>
        <w:t>la tendenza</w:t>
      </w:r>
      <w:r w:rsidRPr="00063D2B">
        <w:rPr>
          <w:rFonts w:eastAsia="Aptos" w:cstheme="minorHAnsi"/>
          <w:kern w:val="2"/>
          <w14:ligatures w14:val="standardContextual"/>
        </w:rPr>
        <w:t xml:space="preserve"> degli investimenti segue dinamiche simili a quelle nazionali. Gli investimenti sono trainati principalmente dalle grandi imprese che beneficiano di una maggiore capacità di accesso al credito e di risorse patrimoniali più solide. Le PMI, invece, riscontrano maggiori difficoltà nel sostenere nuovi investimenti a causa della limitata disponibilità di credito e dell’aumento dei costi di finanziamento. Questa situazione ha ridotto la propensione all'investimento delle PMI in ambiti cruciali come la modernizzazione delle infrastrutture, l'automazione e l'adozione di tecnologie avanzate. Tali limitazioni rappresentano un freno significativo alla competitività e alla produttività delle PMI marchigiane compromettendo le loro prospettive di crescita a lungo termine.</w:t>
      </w:r>
    </w:p>
    <w:p w14:paraId="549CF535" w14:textId="72F7C09C" w:rsidR="00CE60A3" w:rsidRPr="00063D2B" w:rsidRDefault="00CE60A3" w:rsidP="00CE60A3">
      <w:pPr>
        <w:spacing w:after="0" w:line="240" w:lineRule="auto"/>
        <w:ind w:left="1560"/>
        <w:jc w:val="both"/>
        <w:rPr>
          <w:rFonts w:eastAsia="Aptos" w:cstheme="minorHAnsi"/>
          <w:kern w:val="2"/>
          <w14:ligatures w14:val="standardContextual"/>
        </w:rPr>
      </w:pPr>
      <w:r>
        <w:rPr>
          <w:rFonts w:eastAsia="Aptos" w:cstheme="minorHAnsi"/>
          <w:i/>
          <w:iCs/>
          <w:kern w:val="2"/>
          <w:sz w:val="20"/>
          <w:szCs w:val="20"/>
          <w14:ligatures w14:val="standardContextual"/>
        </w:rPr>
        <w:t>Fig</w:t>
      </w:r>
      <w:r w:rsidRPr="00A502C1">
        <w:rPr>
          <w:rFonts w:eastAsia="Aptos" w:cstheme="minorHAnsi"/>
          <w:i/>
          <w:iCs/>
          <w:kern w:val="2"/>
          <w:sz w:val="20"/>
          <w:szCs w:val="20"/>
          <w14:ligatures w14:val="standardContextual"/>
        </w:rPr>
        <w:t>.</w:t>
      </w:r>
      <w:r>
        <w:rPr>
          <w:rFonts w:eastAsia="Aptos" w:cstheme="minorHAnsi"/>
          <w:i/>
          <w:iCs/>
          <w:kern w:val="2"/>
          <w:sz w:val="20"/>
          <w:szCs w:val="20"/>
          <w14:ligatures w14:val="standardContextual"/>
        </w:rPr>
        <w:t xml:space="preserve"> 4</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Credito per probabilità di default</w:t>
      </w:r>
    </w:p>
    <w:p w14:paraId="50344CB4" w14:textId="77777777" w:rsidR="00684768" w:rsidRPr="00063D2B" w:rsidRDefault="00684768" w:rsidP="00684768">
      <w:pPr>
        <w:spacing w:after="0" w:line="240" w:lineRule="auto"/>
        <w:jc w:val="center"/>
        <w:rPr>
          <w:rFonts w:eastAsia="Aptos" w:cstheme="minorHAnsi"/>
          <w:kern w:val="2"/>
          <w14:ligatures w14:val="standardContextual"/>
        </w:rPr>
      </w:pPr>
      <w:r w:rsidRPr="00063D2B">
        <w:rPr>
          <w:rFonts w:eastAsia="Aptos" w:cstheme="minorHAnsi"/>
          <w:noProof/>
          <w:kern w:val="2"/>
          <w14:ligatures w14:val="standardContextual"/>
        </w:rPr>
        <w:drawing>
          <wp:inline distT="0" distB="0" distL="0" distR="0" wp14:anchorId="19F0821E" wp14:editId="3ABC8015">
            <wp:extent cx="4144205" cy="2340000"/>
            <wp:effectExtent l="0" t="0" r="8890" b="3175"/>
            <wp:docPr id="5" name="Immagine 4" descr="Immagine che contiene testo, schermata, Parallelo, linea&#10;&#10;Descrizione generata automaticamente">
              <a:extLst xmlns:a="http://schemas.openxmlformats.org/drawingml/2006/main">
                <a:ext uri="{FF2B5EF4-FFF2-40B4-BE49-F238E27FC236}">
                  <a16:creationId xmlns:a16="http://schemas.microsoft.com/office/drawing/2014/main" id="{1959C4B5-55F6-9631-5947-69B7D464E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Immagine che contiene testo, schermata, Parallelo, linea&#10;&#10;Descrizione generata automaticamente">
                      <a:extLst>
                        <a:ext uri="{FF2B5EF4-FFF2-40B4-BE49-F238E27FC236}">
                          <a16:creationId xmlns:a16="http://schemas.microsoft.com/office/drawing/2014/main" id="{1959C4B5-55F6-9631-5947-69B7D464E4C5}"/>
                        </a:ext>
                      </a:extLst>
                    </pic:cNvPr>
                    <pic:cNvPicPr>
                      <a:picLocks noChangeAspect="1"/>
                    </pic:cNvPicPr>
                  </pic:nvPicPr>
                  <pic:blipFill>
                    <a:blip r:embed="rId11"/>
                    <a:stretch>
                      <a:fillRect/>
                    </a:stretch>
                  </pic:blipFill>
                  <pic:spPr>
                    <a:xfrm>
                      <a:off x="0" y="0"/>
                      <a:ext cx="4144205" cy="2340000"/>
                    </a:xfrm>
                    <a:prstGeom prst="rect">
                      <a:avLst/>
                    </a:prstGeom>
                  </pic:spPr>
                </pic:pic>
              </a:graphicData>
            </a:graphic>
          </wp:inline>
        </w:drawing>
      </w:r>
    </w:p>
    <w:p w14:paraId="016F6532" w14:textId="77777777" w:rsidR="00684768" w:rsidRPr="00063D2B" w:rsidRDefault="00684768" w:rsidP="00684768">
      <w:pPr>
        <w:spacing w:after="0" w:line="276" w:lineRule="auto"/>
        <w:ind w:left="1560" w:right="1416"/>
        <w:jc w:val="both"/>
        <w:rPr>
          <w:rFonts w:eastAsia="Aptos" w:cstheme="minorHAnsi"/>
          <w:i/>
          <w:iCs/>
          <w:kern w:val="2"/>
          <w:sz w:val="18"/>
          <w:szCs w:val="18"/>
          <w14:ligatures w14:val="standardContextual"/>
        </w:rPr>
      </w:pPr>
      <w:r w:rsidRPr="00063D2B">
        <w:rPr>
          <w:rFonts w:eastAsia="Aptos" w:cstheme="minorHAnsi"/>
          <w:i/>
          <w:iCs/>
          <w:kern w:val="2"/>
          <w:sz w:val="18"/>
          <w:szCs w:val="18"/>
          <w14:ligatures w14:val="standardContextual"/>
        </w:rPr>
        <w:t>Fonte: Banca d’Italia, L’economia delle Marche Rapporto annuale, giugno 2024</w:t>
      </w:r>
    </w:p>
    <w:p w14:paraId="2989CD70" w14:textId="77777777" w:rsidR="00684768" w:rsidRPr="00063D2B" w:rsidRDefault="00684768" w:rsidP="00684768">
      <w:pPr>
        <w:spacing w:after="120" w:line="240" w:lineRule="auto"/>
        <w:ind w:left="1559" w:right="1418"/>
        <w:jc w:val="both"/>
        <w:rPr>
          <w:rFonts w:eastAsia="Aptos" w:cstheme="minorHAnsi"/>
          <w:kern w:val="2"/>
          <w:sz w:val="18"/>
          <w:szCs w:val="18"/>
          <w14:ligatures w14:val="standardContextual"/>
        </w:rPr>
      </w:pPr>
      <w:r w:rsidRPr="00063D2B">
        <w:rPr>
          <w:rFonts w:eastAsia="Aptos" w:cstheme="minorHAnsi"/>
          <w:kern w:val="2"/>
          <w:sz w:val="18"/>
          <w:szCs w:val="18"/>
          <w14:ligatures w14:val="standardContextual"/>
        </w:rPr>
        <w:t>(1) Sono state incluse le imprese, diverse dalle ditte individuali, con PD segnalata da almeno una banca che dispone di modelli interni per la valutazione del rischio di credito. Per le imprese affidate da più banche con modelli interni è stata considerata la media delle PD segnalate dalle diverse banche ponderata per l’importo dell’accordato. Composizione dell’ammontare dell’importo utilizzato per classi di PD.</w:t>
      </w:r>
    </w:p>
    <w:p w14:paraId="269B03DA" w14:textId="16EB8BFC"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 xml:space="preserve">I dati disponibili relativi al 2024 hanno indicato una tendenza simile all’anno precedente: un complessivo rallentamento degli investimenti, guidato dalle incertezze economiche globali e dall’aumento dei tassi di interesse. Questo scenario ha impattato in modo particolare le PMI marchigiane che, come anticipato, hanno </w:t>
      </w:r>
      <w:r w:rsidRPr="00063D2B">
        <w:rPr>
          <w:rFonts w:eastAsia="Aptos" w:cstheme="minorHAnsi"/>
          <w:kern w:val="2"/>
          <w14:ligatures w14:val="standardContextual"/>
        </w:rPr>
        <w:lastRenderedPageBreak/>
        <w:t xml:space="preserve">registrato difficoltà in termini di accesso ai finanziamenti bancari rispetto alle aziende di dimensioni </w:t>
      </w:r>
      <w:r w:rsidR="005809D7" w:rsidRPr="00063D2B">
        <w:rPr>
          <w:rFonts w:eastAsia="Aptos" w:cstheme="minorHAnsi"/>
          <w:kern w:val="2"/>
          <w14:ligatures w14:val="standardContextual"/>
        </w:rPr>
        <w:t>più grandi</w:t>
      </w:r>
      <w:r w:rsidRPr="00063D2B">
        <w:rPr>
          <w:rFonts w:eastAsia="Aptos" w:cstheme="minorHAnsi"/>
          <w:kern w:val="2"/>
          <w14:ligatures w14:val="standardContextual"/>
        </w:rPr>
        <w:t>.</w:t>
      </w:r>
    </w:p>
    <w:p w14:paraId="23EF9016"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L’elevato costo del capitale limita ulteriormente la capacità di investimento delle PMI rendendo ancora più urgente l’adozione di politiche di supporto mirate. In particolare, interventi volti a facilitare l’accesso al credito e a incentivare l'accumulo di capitale proprio possono fortemente sostenere le PMI nel realizzare investimenti strategici promuovendo così una maggiore resilienza e competitività a livello regionale.</w:t>
      </w:r>
    </w:p>
    <w:p w14:paraId="38775B92"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Le difficoltà di investimento delle PMI nelle Marche riflettono una problematica strutturale che richiede interventi specifici, sia a livello regionale che nazionale. La patrimonializzazione delle imprese potrebbe rappresentare una soluzione strategica riducendo la dipendenza dal credito bancario e migliorando la solidità finanziaria delle aziende. Questo approccio potrebbe inoltre contribuire a creare un ambiente più favorevole all'innovazione e alla crescita sostenibile, aiutando le imprese regionali a superare le sfide attuali e a posizionarsi meglio per il futuro.</w:t>
      </w:r>
    </w:p>
    <w:p w14:paraId="5600BB61" w14:textId="77777777" w:rsidR="00684768" w:rsidRPr="00063D2B"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L’attuale situazione economica e creditizia nelle Marche mette in evidenza la vulnerabilità delle PMI di fronte a un contesto di crescente complessità e volatilità. Da un lato, la riduzione del credito disponibile, conseguenza diretta delle politiche monetarie restrittive e della crescente prudenza delle banche, limita l'accesso alle risorse finanziarie indispensabili per sostenere gli investimenti e stimolare la crescita. Dall'altro lato, la necessità di competere in un mercato globale sempre più tecnologico e innovativo richiede alle PMI un livello di adattamento e modernizzazione che si scontra con le limitazioni strutturali del loro accesso al credito.</w:t>
      </w:r>
    </w:p>
    <w:p w14:paraId="75215765" w14:textId="276C3406" w:rsidR="00684768" w:rsidRPr="00063D2B" w:rsidRDefault="009E27A6" w:rsidP="00684768">
      <w:pPr>
        <w:spacing w:after="120" w:line="276" w:lineRule="auto"/>
        <w:jc w:val="both"/>
        <w:rPr>
          <w:rFonts w:eastAsia="Aptos" w:cstheme="minorHAnsi"/>
          <w:kern w:val="2"/>
          <w14:ligatures w14:val="standardContextual"/>
        </w:rPr>
      </w:pPr>
      <w:r>
        <w:rPr>
          <w:rFonts w:eastAsia="Aptos" w:cstheme="minorHAnsi"/>
          <w:kern w:val="2"/>
          <w14:ligatures w14:val="standardContextual"/>
        </w:rPr>
        <w:t>L</w:t>
      </w:r>
      <w:r w:rsidRPr="00063D2B">
        <w:rPr>
          <w:rFonts w:eastAsia="Aptos" w:cstheme="minorHAnsi"/>
          <w:kern w:val="2"/>
          <w14:ligatures w14:val="standardContextual"/>
        </w:rPr>
        <w:t>e stesse PMI</w:t>
      </w:r>
      <w:r w:rsidR="00684768" w:rsidRPr="00063D2B">
        <w:rPr>
          <w:rFonts w:eastAsia="Aptos" w:cstheme="minorHAnsi"/>
          <w:kern w:val="2"/>
          <w14:ligatures w14:val="standardContextual"/>
        </w:rPr>
        <w:t>,</w:t>
      </w:r>
      <w:r>
        <w:rPr>
          <w:rFonts w:eastAsia="Aptos" w:cstheme="minorHAnsi"/>
          <w:kern w:val="2"/>
          <w14:ligatures w14:val="standardContextual"/>
        </w:rPr>
        <w:t xml:space="preserve"> </w:t>
      </w:r>
      <w:r w:rsidR="005809D7">
        <w:rPr>
          <w:rFonts w:eastAsia="Aptos" w:cstheme="minorHAnsi"/>
          <w:kern w:val="2"/>
          <w14:ligatures w14:val="standardContextual"/>
        </w:rPr>
        <w:t>i</w:t>
      </w:r>
      <w:r w:rsidR="005809D7" w:rsidRPr="00063D2B">
        <w:rPr>
          <w:rFonts w:eastAsia="Aptos" w:cstheme="minorHAnsi"/>
          <w:kern w:val="2"/>
          <w14:ligatures w14:val="standardContextual"/>
        </w:rPr>
        <w:t>noltre,</w:t>
      </w:r>
      <w:r w:rsidR="00684768" w:rsidRPr="00063D2B">
        <w:rPr>
          <w:rFonts w:eastAsia="Aptos" w:cstheme="minorHAnsi"/>
          <w:kern w:val="2"/>
          <w14:ligatures w14:val="standardContextual"/>
        </w:rPr>
        <w:t xml:space="preserve"> con risorse patrimoniali spesso limitate rispetto alle grandi imprese, si trovano in una posizione di svantaggio non solo in termini di credito ma anche per quanto riguarda la capacità di reagire ai cambiamenti e agli shock esterni. Questa situazione aumenta il rischio di una perdita di competitività per il tessuto economico regionale che risulta meno resiliente e reattivo rispetto ai mutamenti delle condizioni di mercato.</w:t>
      </w:r>
    </w:p>
    <w:p w14:paraId="1B22B1C2" w14:textId="77777777" w:rsidR="00684768" w:rsidRDefault="00684768" w:rsidP="00684768">
      <w:pPr>
        <w:spacing w:after="120" w:line="276" w:lineRule="auto"/>
        <w:jc w:val="both"/>
        <w:rPr>
          <w:rFonts w:eastAsia="Aptos" w:cstheme="minorHAnsi"/>
          <w:kern w:val="2"/>
          <w14:ligatures w14:val="standardContextual"/>
        </w:rPr>
      </w:pPr>
      <w:r w:rsidRPr="00063D2B">
        <w:rPr>
          <w:rFonts w:eastAsia="Aptos" w:cstheme="minorHAnsi"/>
          <w:kern w:val="2"/>
          <w14:ligatures w14:val="standardContextual"/>
        </w:rPr>
        <w:t>Di fronte a tali sfide, emerge con chiarezza l'opportunità di promuovere un percorso di rafforzamento strutturale per le PMI, volto a facilitare l'accumulo di capitale proprio e a creare le condizioni per un accesso al credito più agevolato e sostenibile. Questo intervento strategico, attraverso misure che possano facilitare la patrimonializzazione delle imprese e incentivare la loro crescita, appare essenziale non solo per supportare le PMI nel breve termine, ma anche per assicurare la stabilità e la competitività dell'economia regionale delle Marche nel lungo periodo. Un aumento del capitale proprio fornirebbe infatti alle PMI le risorse necessarie per investire in innovazione, per modernizzare le proprie strutture operative e per competere efficacemente sui mercati internazionali, rafforzando al contempo la resilienza del sistema economico regionale.</w:t>
      </w:r>
    </w:p>
    <w:p w14:paraId="12337303" w14:textId="77777777" w:rsidR="00FE42F6" w:rsidRDefault="00FE42F6" w:rsidP="00684768">
      <w:pPr>
        <w:spacing w:after="120" w:line="276" w:lineRule="auto"/>
        <w:jc w:val="both"/>
        <w:rPr>
          <w:rFonts w:eastAsia="Aptos" w:cstheme="minorHAnsi"/>
          <w:kern w:val="2"/>
          <w14:ligatures w14:val="standardContextual"/>
        </w:rPr>
      </w:pPr>
    </w:p>
    <w:p w14:paraId="13B69D58" w14:textId="39C69448" w:rsidR="00D749B2" w:rsidRDefault="003B1ABC" w:rsidP="00684768">
      <w:pPr>
        <w:spacing w:after="120" w:line="276" w:lineRule="auto"/>
        <w:jc w:val="both"/>
        <w:rPr>
          <w:rFonts w:eastAsia="Aptos" w:cstheme="minorHAnsi"/>
          <w:kern w:val="2"/>
          <w14:ligatures w14:val="standardContextual"/>
        </w:rPr>
      </w:pPr>
      <w:r>
        <w:rPr>
          <w:rFonts w:eastAsia="Aptos" w:cstheme="minorHAnsi"/>
          <w:kern w:val="2"/>
          <w14:ligatures w14:val="standardContextual"/>
        </w:rPr>
        <w:t>I dati sopra esposti relativi al contesto nazionale e regionale esito dell’analisi</w:t>
      </w:r>
      <w:r w:rsidR="00166FA3">
        <w:rPr>
          <w:rFonts w:eastAsia="Aptos" w:cstheme="minorHAnsi"/>
          <w:kern w:val="2"/>
          <w14:ligatures w14:val="standardContextual"/>
        </w:rPr>
        <w:t xml:space="preserve"> 2024</w:t>
      </w:r>
      <w:r>
        <w:rPr>
          <w:rFonts w:eastAsia="Aptos" w:cstheme="minorHAnsi"/>
          <w:kern w:val="2"/>
          <w14:ligatures w14:val="standardContextual"/>
        </w:rPr>
        <w:t xml:space="preserve"> d</w:t>
      </w:r>
      <w:r w:rsidR="00166FA3">
        <w:rPr>
          <w:rFonts w:eastAsia="Aptos" w:cstheme="minorHAnsi"/>
          <w:kern w:val="2"/>
          <w14:ligatures w14:val="standardContextual"/>
        </w:rPr>
        <w:t>ella</w:t>
      </w:r>
      <w:r>
        <w:rPr>
          <w:rFonts w:eastAsia="Aptos" w:cstheme="minorHAnsi"/>
          <w:kern w:val="2"/>
          <w14:ligatures w14:val="standardContextual"/>
        </w:rPr>
        <w:t xml:space="preserve"> Banca d’Italia </w:t>
      </w:r>
      <w:r w:rsidR="00166FA3">
        <w:rPr>
          <w:rFonts w:eastAsia="Aptos" w:cstheme="minorHAnsi"/>
          <w:kern w:val="2"/>
          <w14:ligatures w14:val="standardContextual"/>
        </w:rPr>
        <w:t>(</w:t>
      </w:r>
      <w:r w:rsidR="00166FA3" w:rsidRPr="00166FA3">
        <w:rPr>
          <w:rFonts w:eastAsia="Aptos" w:cstheme="minorHAnsi"/>
          <w:i/>
          <w:iCs/>
          <w:kern w:val="2"/>
          <w14:ligatures w14:val="standardContextual"/>
        </w:rPr>
        <w:t>La domanda e l'offerta di credito a livello territoriale</w:t>
      </w:r>
      <w:r w:rsidR="00166FA3">
        <w:rPr>
          <w:rFonts w:eastAsia="Aptos" w:cstheme="minorHAnsi"/>
          <w:kern w:val="2"/>
          <w14:ligatures w14:val="standardContextual"/>
        </w:rPr>
        <w:t xml:space="preserve"> e </w:t>
      </w:r>
      <w:r w:rsidR="00166FA3" w:rsidRPr="00166FA3">
        <w:rPr>
          <w:rFonts w:eastAsia="Aptos" w:cstheme="minorHAnsi"/>
          <w:i/>
          <w:iCs/>
          <w:kern w:val="2"/>
          <w14:ligatures w14:val="standardContextual"/>
        </w:rPr>
        <w:t>L’economia delle Marche</w:t>
      </w:r>
      <w:r w:rsidR="00166FA3">
        <w:rPr>
          <w:rFonts w:eastAsia="Aptos" w:cstheme="minorHAnsi"/>
          <w:kern w:val="2"/>
          <w14:ligatures w14:val="standardContextual"/>
        </w:rPr>
        <w:t xml:space="preserve">) </w:t>
      </w:r>
      <w:r>
        <w:rPr>
          <w:rFonts w:eastAsia="Aptos" w:cstheme="minorHAnsi"/>
          <w:kern w:val="2"/>
          <w14:ligatures w14:val="standardContextual"/>
        </w:rPr>
        <w:t xml:space="preserve">riprendono, in parte, </w:t>
      </w:r>
      <w:r w:rsidR="00166FA3">
        <w:rPr>
          <w:rFonts w:eastAsia="Aptos" w:cstheme="minorHAnsi"/>
          <w:kern w:val="2"/>
          <w14:ligatures w14:val="standardContextual"/>
        </w:rPr>
        <w:t xml:space="preserve">e confermano </w:t>
      </w:r>
      <w:r>
        <w:rPr>
          <w:rFonts w:eastAsia="Aptos" w:cstheme="minorHAnsi"/>
          <w:kern w:val="2"/>
          <w14:ligatures w14:val="standardContextual"/>
        </w:rPr>
        <w:t xml:space="preserve">la tendenza evidenziata nel rapporto sul </w:t>
      </w:r>
      <w:r w:rsidRPr="003B1ABC">
        <w:rPr>
          <w:rFonts w:eastAsia="Aptos" w:cstheme="minorHAnsi"/>
          <w:i/>
          <w:iCs/>
          <w:kern w:val="2"/>
          <w14:ligatures w14:val="standardContextual"/>
        </w:rPr>
        <w:t>Censimento permanente delle imprese 2023</w:t>
      </w:r>
      <w:r>
        <w:rPr>
          <w:rStyle w:val="Rimandonotaapidipagina"/>
          <w:rFonts w:eastAsia="Aptos" w:cstheme="minorHAnsi"/>
          <w:kern w:val="2"/>
          <w14:ligatures w14:val="standardContextual"/>
        </w:rPr>
        <w:footnoteReference w:id="5"/>
      </w:r>
      <w:r w:rsidR="00166FA3">
        <w:rPr>
          <w:rFonts w:eastAsia="Aptos" w:cstheme="minorHAnsi"/>
          <w:i/>
          <w:iCs/>
          <w:kern w:val="2"/>
          <w14:ligatures w14:val="standardContextual"/>
        </w:rPr>
        <w:t xml:space="preserve"> </w:t>
      </w:r>
      <w:r>
        <w:rPr>
          <w:rFonts w:eastAsia="Aptos" w:cstheme="minorHAnsi"/>
          <w:kern w:val="2"/>
          <w14:ligatures w14:val="standardContextual"/>
        </w:rPr>
        <w:t xml:space="preserve">elaborato da ISTAT. </w:t>
      </w:r>
      <w:r w:rsidR="003B4BF2">
        <w:rPr>
          <w:rFonts w:eastAsia="Aptos" w:cstheme="minorHAnsi"/>
          <w:kern w:val="2"/>
          <w14:ligatures w14:val="standardContextual"/>
        </w:rPr>
        <w:t xml:space="preserve"> </w:t>
      </w:r>
      <w:r w:rsidR="00EF44AA">
        <w:rPr>
          <w:rFonts w:eastAsia="Aptos" w:cstheme="minorHAnsi"/>
          <w:kern w:val="2"/>
          <w14:ligatures w14:val="standardContextual"/>
        </w:rPr>
        <w:t>I dati sottolineano come sia a</w:t>
      </w:r>
      <w:r w:rsidR="00EF44AA" w:rsidRPr="00EF44AA">
        <w:rPr>
          <w:rFonts w:eastAsia="Aptos" w:cstheme="minorHAnsi"/>
          <w:kern w:val="2"/>
          <w14:ligatures w14:val="standardContextual"/>
        </w:rPr>
        <w:t xml:space="preserve">ncora </w:t>
      </w:r>
      <w:r w:rsidR="00EF44AA">
        <w:rPr>
          <w:rFonts w:eastAsia="Aptos" w:cstheme="minorHAnsi"/>
          <w:kern w:val="2"/>
          <w14:ligatures w14:val="standardContextual"/>
        </w:rPr>
        <w:t>forte</w:t>
      </w:r>
      <w:r w:rsidR="00EF44AA" w:rsidRPr="00EF44AA">
        <w:rPr>
          <w:rFonts w:eastAsia="Aptos" w:cstheme="minorHAnsi"/>
          <w:kern w:val="2"/>
          <w14:ligatures w14:val="standardContextual"/>
        </w:rPr>
        <w:t xml:space="preserve"> </w:t>
      </w:r>
      <w:r w:rsidR="00EF44AA">
        <w:rPr>
          <w:rFonts w:eastAsia="Aptos" w:cstheme="minorHAnsi"/>
          <w:kern w:val="2"/>
          <w14:ligatures w14:val="standardContextual"/>
        </w:rPr>
        <w:t>i</w:t>
      </w:r>
      <w:r w:rsidR="00EF44AA" w:rsidRPr="00EF44AA">
        <w:rPr>
          <w:rFonts w:eastAsia="Aptos" w:cstheme="minorHAnsi"/>
          <w:kern w:val="2"/>
          <w14:ligatures w14:val="standardContextual"/>
        </w:rPr>
        <w:t>l ricorso all’utilizzo di risorse interne per finanziare l’attività di impresa</w:t>
      </w:r>
      <w:r w:rsidR="00EF44AA">
        <w:rPr>
          <w:rFonts w:eastAsia="Aptos" w:cstheme="minorHAnsi"/>
          <w:kern w:val="2"/>
          <w14:ligatures w14:val="standardContextual"/>
        </w:rPr>
        <w:t>:</w:t>
      </w:r>
      <w:r w:rsidR="00EF44AA" w:rsidRPr="00EF44AA">
        <w:rPr>
          <w:rFonts w:eastAsia="Aptos" w:cstheme="minorHAnsi"/>
          <w:kern w:val="2"/>
          <w14:ligatures w14:val="standardContextual"/>
        </w:rPr>
        <w:t xml:space="preserve"> </w:t>
      </w:r>
      <w:r w:rsidR="00EF44AA">
        <w:rPr>
          <w:rFonts w:eastAsia="Aptos" w:cstheme="minorHAnsi"/>
          <w:kern w:val="2"/>
          <w14:ligatures w14:val="standardContextual"/>
        </w:rPr>
        <w:t>l</w:t>
      </w:r>
      <w:r w:rsidR="00EF44AA" w:rsidRPr="00EF44AA">
        <w:rPr>
          <w:rFonts w:eastAsia="Aptos" w:cstheme="minorHAnsi"/>
          <w:kern w:val="2"/>
          <w14:ligatures w14:val="standardContextual"/>
        </w:rPr>
        <w:t>a fase post-pandemica è</w:t>
      </w:r>
      <w:r w:rsidR="00EF44AA">
        <w:rPr>
          <w:rFonts w:eastAsia="Aptos" w:cstheme="minorHAnsi"/>
          <w:kern w:val="2"/>
          <w14:ligatures w14:val="standardContextual"/>
        </w:rPr>
        <w:t xml:space="preserve"> stata </w:t>
      </w:r>
      <w:r w:rsidR="00EF44AA" w:rsidRPr="00EF44AA">
        <w:rPr>
          <w:rFonts w:eastAsia="Aptos" w:cstheme="minorHAnsi"/>
          <w:kern w:val="2"/>
          <w14:ligatures w14:val="standardContextual"/>
        </w:rPr>
        <w:t xml:space="preserve">caratterizzata da una </w:t>
      </w:r>
      <w:r w:rsidR="00EF44AA">
        <w:rPr>
          <w:rFonts w:eastAsia="Aptos" w:cstheme="minorHAnsi"/>
          <w:kern w:val="2"/>
          <w14:ligatures w14:val="standardContextual"/>
        </w:rPr>
        <w:t>marcata</w:t>
      </w:r>
      <w:r w:rsidR="00EF44AA" w:rsidRPr="00EF44AA">
        <w:rPr>
          <w:rFonts w:eastAsia="Aptos" w:cstheme="minorHAnsi"/>
          <w:kern w:val="2"/>
          <w14:ligatures w14:val="standardContextual"/>
        </w:rPr>
        <w:t xml:space="preserve"> ripresa dell’inflazione e dal conseguente avvio di una politica restrittiva da parte delle principali banche centrali</w:t>
      </w:r>
      <w:r w:rsidR="00EF44AA">
        <w:rPr>
          <w:rFonts w:eastAsia="Aptos" w:cstheme="minorHAnsi"/>
          <w:kern w:val="2"/>
          <w14:ligatures w14:val="standardContextual"/>
        </w:rPr>
        <w:t xml:space="preserve">. Nel 2022 </w:t>
      </w:r>
      <w:r w:rsidR="00EF44AA" w:rsidRPr="00EF44AA">
        <w:rPr>
          <w:rFonts w:eastAsia="Aptos" w:cstheme="minorHAnsi"/>
          <w:kern w:val="2"/>
          <w14:ligatures w14:val="standardContextual"/>
        </w:rPr>
        <w:t>l’autofinanziamento come strumento di finanziamento interno</w:t>
      </w:r>
      <w:r w:rsidR="00EF44AA">
        <w:rPr>
          <w:rFonts w:eastAsia="Aptos" w:cstheme="minorHAnsi"/>
          <w:kern w:val="2"/>
          <w14:ligatures w14:val="standardContextual"/>
        </w:rPr>
        <w:t xml:space="preserve"> è stato adottato dall’</w:t>
      </w:r>
      <w:r w:rsidR="00EF44AA" w:rsidRPr="00EF44AA">
        <w:rPr>
          <w:rFonts w:eastAsia="Aptos" w:cstheme="minorHAnsi"/>
          <w:kern w:val="2"/>
          <w14:ligatures w14:val="standardContextual"/>
        </w:rPr>
        <w:t>80,3%</w:t>
      </w:r>
      <w:r w:rsidR="00EF44AA">
        <w:rPr>
          <w:rFonts w:eastAsia="Aptos" w:cstheme="minorHAnsi"/>
          <w:kern w:val="2"/>
          <w14:ligatures w14:val="standardContextual"/>
        </w:rPr>
        <w:t xml:space="preserve"> delle imprese con </w:t>
      </w:r>
      <w:r w:rsidR="00D749B2">
        <w:rPr>
          <w:rFonts w:eastAsia="Aptos" w:cstheme="minorHAnsi"/>
          <w:kern w:val="2"/>
          <w14:ligatures w14:val="standardContextual"/>
        </w:rPr>
        <w:t>almeno 3 addetti. I</w:t>
      </w:r>
      <w:r w:rsidR="00D749B2" w:rsidRPr="00D749B2">
        <w:rPr>
          <w:rFonts w:eastAsia="Aptos" w:cstheme="minorHAnsi"/>
          <w:kern w:val="2"/>
          <w14:ligatures w14:val="standardContextual"/>
        </w:rPr>
        <w:t xml:space="preserve"> principali utilizzatori di questo tipo di finanziamento </w:t>
      </w:r>
      <w:r w:rsidR="00D749B2">
        <w:rPr>
          <w:rFonts w:eastAsia="Aptos" w:cstheme="minorHAnsi"/>
          <w:kern w:val="2"/>
          <w14:ligatures w14:val="standardContextual"/>
        </w:rPr>
        <w:t xml:space="preserve">sono </w:t>
      </w:r>
      <w:r w:rsidR="00D749B2" w:rsidRPr="00D749B2">
        <w:rPr>
          <w:rFonts w:eastAsia="Aptos" w:cstheme="minorHAnsi"/>
          <w:kern w:val="2"/>
          <w14:ligatures w14:val="standardContextual"/>
        </w:rPr>
        <w:t xml:space="preserve">le imprese di minore dimensione </w:t>
      </w:r>
      <w:r w:rsidR="00D749B2" w:rsidRPr="00D749B2">
        <w:rPr>
          <w:rFonts w:eastAsia="Aptos" w:cstheme="minorHAnsi"/>
          <w:kern w:val="2"/>
          <w14:ligatures w14:val="standardContextual"/>
        </w:rPr>
        <w:lastRenderedPageBreak/>
        <w:t xml:space="preserve">(82,3% delle microimprese) </w:t>
      </w:r>
      <w:r w:rsidR="00D749B2">
        <w:rPr>
          <w:rFonts w:eastAsia="Aptos" w:cstheme="minorHAnsi"/>
          <w:kern w:val="2"/>
          <w14:ligatures w14:val="standardContextual"/>
        </w:rPr>
        <w:t xml:space="preserve">appartenenti al settore produttivo dei </w:t>
      </w:r>
      <w:r w:rsidR="00D749B2" w:rsidRPr="00D749B2">
        <w:rPr>
          <w:rFonts w:eastAsia="Aptos" w:cstheme="minorHAnsi"/>
          <w:kern w:val="2"/>
          <w14:ligatures w14:val="standardContextual"/>
        </w:rPr>
        <w:t>Servizi. Al secondo posto tra le fonti principali di finanziamento si colloca il finanziamento bancario, distinto in credito bancario a medio-lungo termine (28,2%) e a breve termine (11,5%)</w:t>
      </w:r>
      <w:r w:rsidR="00D749B2">
        <w:rPr>
          <w:rFonts w:eastAsia="Aptos" w:cstheme="minorHAnsi"/>
          <w:kern w:val="2"/>
          <w14:ligatures w14:val="standardContextual"/>
        </w:rPr>
        <w:t>.</w:t>
      </w:r>
    </w:p>
    <w:p w14:paraId="4D584CBB" w14:textId="6616BE30" w:rsidR="00D749B2" w:rsidRDefault="00D749B2" w:rsidP="00684768">
      <w:pPr>
        <w:spacing w:after="120" w:line="276" w:lineRule="auto"/>
        <w:jc w:val="both"/>
        <w:rPr>
          <w:rFonts w:eastAsia="Aptos" w:cstheme="minorHAnsi"/>
          <w:kern w:val="2"/>
          <w14:ligatures w14:val="standardContextual"/>
        </w:rPr>
      </w:pPr>
      <w:r w:rsidRPr="00D749B2">
        <w:rPr>
          <w:rFonts w:eastAsia="Aptos" w:cstheme="minorHAnsi"/>
          <w:kern w:val="2"/>
          <w14:ligatures w14:val="standardContextual"/>
        </w:rPr>
        <w:t xml:space="preserve">L’esposizione bancaria </w:t>
      </w:r>
      <w:r>
        <w:rPr>
          <w:rFonts w:eastAsia="Aptos" w:cstheme="minorHAnsi"/>
          <w:kern w:val="2"/>
          <w14:ligatures w14:val="standardContextual"/>
        </w:rPr>
        <w:t xml:space="preserve">è </w:t>
      </w:r>
      <w:r w:rsidRPr="00D749B2">
        <w:rPr>
          <w:rFonts w:eastAsia="Aptos" w:cstheme="minorHAnsi"/>
          <w:kern w:val="2"/>
          <w14:ligatures w14:val="standardContextual"/>
        </w:rPr>
        <w:t xml:space="preserve">particolarmente elevata nell’Industria in senso stretto, il 35,8% per il medio-lungo termine e il 17,5% per il credito a breve termine. </w:t>
      </w:r>
      <w:r>
        <w:rPr>
          <w:rFonts w:eastAsia="Aptos" w:cstheme="minorHAnsi"/>
          <w:kern w:val="2"/>
          <w14:ligatures w14:val="standardContextual"/>
        </w:rPr>
        <w:t>T</w:t>
      </w:r>
      <w:r w:rsidRPr="00D749B2">
        <w:rPr>
          <w:rFonts w:eastAsia="Aptos" w:cstheme="minorHAnsi"/>
          <w:kern w:val="2"/>
          <w14:ligatures w14:val="standardContextual"/>
        </w:rPr>
        <w:t xml:space="preserve">ra le forme di finanziamento esterno complementari al credito bancario di particolare diffusione risultano sia </w:t>
      </w:r>
      <w:r w:rsidRPr="00D749B2">
        <w:rPr>
          <w:rFonts w:eastAsia="Aptos" w:cstheme="minorHAnsi"/>
          <w:i/>
          <w:iCs/>
          <w:kern w:val="2"/>
          <w14:ligatures w14:val="standardContextual"/>
        </w:rPr>
        <w:t>leasing</w:t>
      </w:r>
      <w:r>
        <w:rPr>
          <w:rStyle w:val="Rimandonotaapidipagina"/>
          <w:rFonts w:eastAsia="Aptos" w:cstheme="minorHAnsi"/>
          <w:i/>
          <w:iCs/>
          <w:kern w:val="2"/>
          <w14:ligatures w14:val="standardContextual"/>
        </w:rPr>
        <w:footnoteReference w:id="6"/>
      </w:r>
      <w:r w:rsidRPr="00D749B2">
        <w:rPr>
          <w:rFonts w:eastAsia="Aptos" w:cstheme="minorHAnsi"/>
          <w:kern w:val="2"/>
          <w14:ligatures w14:val="standardContextual"/>
        </w:rPr>
        <w:t xml:space="preserve"> e </w:t>
      </w:r>
      <w:r w:rsidRPr="00D749B2">
        <w:rPr>
          <w:rFonts w:eastAsia="Aptos" w:cstheme="minorHAnsi"/>
          <w:i/>
          <w:iCs/>
          <w:kern w:val="2"/>
          <w14:ligatures w14:val="standardContextual"/>
        </w:rPr>
        <w:t>factoring</w:t>
      </w:r>
      <w:r>
        <w:rPr>
          <w:rStyle w:val="Rimandonotaapidipagina"/>
          <w:rFonts w:eastAsia="Aptos" w:cstheme="minorHAnsi"/>
          <w:i/>
          <w:iCs/>
          <w:kern w:val="2"/>
          <w14:ligatures w14:val="standardContextual"/>
        </w:rPr>
        <w:footnoteReference w:id="7"/>
      </w:r>
      <w:r w:rsidRPr="00D749B2">
        <w:rPr>
          <w:rFonts w:eastAsia="Aptos" w:cstheme="minorHAnsi"/>
          <w:kern w:val="2"/>
          <w14:ligatures w14:val="standardContextual"/>
        </w:rPr>
        <w:t xml:space="preserve"> (9,1%) </w:t>
      </w:r>
      <w:r>
        <w:rPr>
          <w:rFonts w:eastAsia="Aptos" w:cstheme="minorHAnsi"/>
          <w:kern w:val="2"/>
          <w14:ligatures w14:val="standardContextual"/>
        </w:rPr>
        <w:t>che</w:t>
      </w:r>
      <w:r w:rsidRPr="00D749B2">
        <w:rPr>
          <w:rFonts w:eastAsia="Aptos" w:cstheme="minorHAnsi"/>
          <w:kern w:val="2"/>
          <w14:ligatures w14:val="standardContextual"/>
        </w:rPr>
        <w:t xml:space="preserve"> i crediti commerciali (5,5%)</w:t>
      </w:r>
      <w:r>
        <w:rPr>
          <w:rFonts w:eastAsia="Aptos" w:cstheme="minorHAnsi"/>
          <w:kern w:val="2"/>
          <w14:ligatures w14:val="standardContextual"/>
        </w:rPr>
        <w:t>.</w:t>
      </w:r>
    </w:p>
    <w:p w14:paraId="62F1E02E" w14:textId="334FE175" w:rsidR="00302123" w:rsidRDefault="00D749B2" w:rsidP="00684768">
      <w:pPr>
        <w:spacing w:after="120" w:line="276" w:lineRule="auto"/>
        <w:jc w:val="both"/>
        <w:rPr>
          <w:rFonts w:eastAsia="Aptos" w:cstheme="minorHAnsi"/>
          <w:kern w:val="2"/>
          <w14:ligatures w14:val="standardContextual"/>
        </w:rPr>
      </w:pPr>
      <w:r w:rsidRPr="00D749B2">
        <w:rPr>
          <w:rFonts w:eastAsia="Aptos" w:cstheme="minorHAnsi"/>
          <w:kern w:val="2"/>
          <w14:ligatures w14:val="standardContextual"/>
        </w:rPr>
        <w:t>Nell’ambito delle fonti di finanziamento</w:t>
      </w:r>
      <w:r w:rsidR="00A37B5E">
        <w:rPr>
          <w:rFonts w:eastAsia="Aptos" w:cstheme="minorHAnsi"/>
          <w:kern w:val="2"/>
          <w14:ligatures w14:val="standardContextual"/>
        </w:rPr>
        <w:t xml:space="preserve"> (</w:t>
      </w:r>
      <w:proofErr w:type="spellStart"/>
      <w:r w:rsidR="00A37B5E">
        <w:rPr>
          <w:rFonts w:eastAsia="Aptos" w:cstheme="minorHAnsi"/>
          <w:kern w:val="2"/>
          <w14:ligatures w14:val="standardContextual"/>
        </w:rPr>
        <w:t>Tab</w:t>
      </w:r>
      <w:proofErr w:type="spellEnd"/>
      <w:r w:rsidR="00A37B5E">
        <w:rPr>
          <w:rFonts w:eastAsia="Aptos" w:cstheme="minorHAnsi"/>
          <w:kern w:val="2"/>
          <w14:ligatures w14:val="standardContextual"/>
        </w:rPr>
        <w:t>. 5)</w:t>
      </w:r>
      <w:r w:rsidRPr="00D749B2">
        <w:rPr>
          <w:rFonts w:eastAsia="Aptos" w:cstheme="minorHAnsi"/>
          <w:kern w:val="2"/>
          <w14:ligatures w14:val="standardContextual"/>
        </w:rPr>
        <w:t xml:space="preserve"> interne si evidenzia il ricorso all’</w:t>
      </w:r>
      <w:r w:rsidRPr="00D749B2">
        <w:rPr>
          <w:rFonts w:eastAsia="Aptos" w:cstheme="minorHAnsi"/>
          <w:i/>
          <w:iCs/>
          <w:kern w:val="2"/>
          <w14:ligatures w14:val="standardContextual"/>
        </w:rPr>
        <w:t>equity</w:t>
      </w:r>
      <w:r>
        <w:rPr>
          <w:rStyle w:val="Rimandonotaapidipagina"/>
          <w:rFonts w:eastAsia="Aptos" w:cstheme="minorHAnsi"/>
          <w:kern w:val="2"/>
          <w14:ligatures w14:val="standardContextual"/>
        </w:rPr>
        <w:footnoteReference w:id="8"/>
      </w:r>
      <w:r w:rsidRPr="00D749B2">
        <w:rPr>
          <w:rFonts w:eastAsia="Aptos" w:cstheme="minorHAnsi"/>
          <w:kern w:val="2"/>
          <w14:ligatures w14:val="standardContextual"/>
        </w:rPr>
        <w:t xml:space="preserve"> mediante aumento di capitale netto (2,7%). Complessivamente, il capitale proprio si riduce di un punto percentuale rispetto al periodo </w:t>
      </w:r>
      <w:proofErr w:type="spellStart"/>
      <w:r w:rsidRPr="00D749B2">
        <w:rPr>
          <w:rFonts w:eastAsia="Aptos" w:cstheme="minorHAnsi"/>
          <w:kern w:val="2"/>
          <w14:ligatures w14:val="standardContextual"/>
        </w:rPr>
        <w:t>pre</w:t>
      </w:r>
      <w:proofErr w:type="spellEnd"/>
      <w:r w:rsidRPr="00D749B2">
        <w:rPr>
          <w:rFonts w:eastAsia="Aptos" w:cstheme="minorHAnsi"/>
          <w:kern w:val="2"/>
          <w14:ligatures w14:val="standardContextual"/>
        </w:rPr>
        <w:t>-pandemico e resta appannaggio della grande impresa.</w:t>
      </w:r>
      <w:r w:rsidR="00B10AC1">
        <w:rPr>
          <w:rFonts w:eastAsia="Aptos" w:cstheme="minorHAnsi"/>
          <w:kern w:val="2"/>
          <w14:ligatures w14:val="standardContextual"/>
        </w:rPr>
        <w:t xml:space="preserve"> Gli i</w:t>
      </w:r>
      <w:r w:rsidR="00B10AC1" w:rsidRPr="00B10AC1">
        <w:rPr>
          <w:rFonts w:eastAsia="Aptos" w:cstheme="minorHAnsi"/>
          <w:kern w:val="2"/>
          <w14:ligatures w14:val="standardContextual"/>
        </w:rPr>
        <w:t>ncentivi e agevolazioni pubbliche</w:t>
      </w:r>
      <w:r w:rsidR="00B10AC1">
        <w:rPr>
          <w:rFonts w:eastAsia="Aptos" w:cstheme="minorHAnsi"/>
          <w:kern w:val="2"/>
          <w14:ligatures w14:val="standardContextual"/>
        </w:rPr>
        <w:t xml:space="preserve"> hanno</w:t>
      </w:r>
      <w:r w:rsidR="00B10AC1" w:rsidRPr="00B10AC1">
        <w:rPr>
          <w:rFonts w:eastAsia="Aptos" w:cstheme="minorHAnsi"/>
          <w:kern w:val="2"/>
          <w14:ligatures w14:val="standardContextual"/>
        </w:rPr>
        <w:t xml:space="preserve"> </w:t>
      </w:r>
      <w:r w:rsidR="00B10AC1">
        <w:rPr>
          <w:rFonts w:eastAsia="Aptos" w:cstheme="minorHAnsi"/>
          <w:kern w:val="2"/>
          <w14:ligatures w14:val="standardContextual"/>
        </w:rPr>
        <w:t>segnato</w:t>
      </w:r>
      <w:r w:rsidR="00B10AC1" w:rsidRPr="00B10AC1">
        <w:rPr>
          <w:rFonts w:eastAsia="Aptos" w:cstheme="minorHAnsi"/>
          <w:kern w:val="2"/>
          <w14:ligatures w14:val="standardContextual"/>
        </w:rPr>
        <w:t xml:space="preserve"> un </w:t>
      </w:r>
      <w:r w:rsidR="00B10AC1">
        <w:rPr>
          <w:rFonts w:eastAsia="Aptos" w:cstheme="minorHAnsi"/>
          <w:kern w:val="2"/>
          <w14:ligatures w14:val="standardContextual"/>
        </w:rPr>
        <w:t>deciso</w:t>
      </w:r>
      <w:r w:rsidR="00B10AC1" w:rsidRPr="00B10AC1">
        <w:rPr>
          <w:rFonts w:eastAsia="Aptos" w:cstheme="minorHAnsi"/>
          <w:kern w:val="2"/>
          <w14:ligatures w14:val="standardContextual"/>
        </w:rPr>
        <w:t xml:space="preserve"> incremento di diffusione</w:t>
      </w:r>
      <w:r w:rsidR="00B10AC1">
        <w:rPr>
          <w:rFonts w:eastAsia="Aptos" w:cstheme="minorHAnsi"/>
          <w:kern w:val="2"/>
          <w14:ligatures w14:val="standardContextual"/>
        </w:rPr>
        <w:t>, soprattutto,</w:t>
      </w:r>
      <w:r w:rsidR="00B10AC1" w:rsidRPr="00B10AC1">
        <w:rPr>
          <w:rFonts w:eastAsia="Aptos" w:cstheme="minorHAnsi"/>
          <w:kern w:val="2"/>
          <w14:ligatures w14:val="standardContextual"/>
        </w:rPr>
        <w:t xml:space="preserve"> grazie ai decreti governativi che hanno fatto seguito al periodo pandemico</w:t>
      </w:r>
      <w:r w:rsidR="00E73432">
        <w:rPr>
          <w:rFonts w:eastAsia="Aptos" w:cstheme="minorHAnsi"/>
          <w:kern w:val="2"/>
          <w14:ligatures w14:val="standardContextual"/>
        </w:rPr>
        <w:t xml:space="preserve">. Il ricorso al </w:t>
      </w:r>
      <w:r w:rsidR="00E73432" w:rsidRPr="00E73432">
        <w:rPr>
          <w:rFonts w:eastAsia="Aptos" w:cstheme="minorHAnsi"/>
          <w:kern w:val="2"/>
          <w14:ligatures w14:val="standardContextual"/>
        </w:rPr>
        <w:t>finanziamento pubblico</w:t>
      </w:r>
      <w:r w:rsidR="00E73432">
        <w:rPr>
          <w:rFonts w:eastAsia="Aptos" w:cstheme="minorHAnsi"/>
          <w:kern w:val="2"/>
          <w14:ligatures w14:val="standardContextual"/>
        </w:rPr>
        <w:t xml:space="preserve"> registra un marcato aumento anche grazie alle </w:t>
      </w:r>
      <w:r w:rsidR="00E73432" w:rsidRPr="00E73432">
        <w:rPr>
          <w:rFonts w:eastAsia="Aptos" w:cstheme="minorHAnsi"/>
          <w:kern w:val="2"/>
          <w14:ligatures w14:val="standardContextual"/>
        </w:rPr>
        <w:t>politiche di sostegno</w:t>
      </w:r>
      <w:r w:rsidR="00E73432">
        <w:rPr>
          <w:rFonts w:eastAsia="Aptos" w:cstheme="minorHAnsi"/>
          <w:kern w:val="2"/>
          <w14:ligatures w14:val="standardContextual"/>
        </w:rPr>
        <w:t xml:space="preserve"> che sono state sviluppate e realizzate.</w:t>
      </w:r>
    </w:p>
    <w:p w14:paraId="6295CE57" w14:textId="77777777" w:rsidR="00072512" w:rsidRDefault="00072512" w:rsidP="00A37B5E">
      <w:pPr>
        <w:spacing w:after="0" w:line="240" w:lineRule="auto"/>
        <w:jc w:val="both"/>
        <w:rPr>
          <w:rFonts w:eastAsia="Aptos" w:cstheme="minorHAnsi"/>
          <w:i/>
          <w:iCs/>
          <w:kern w:val="2"/>
          <w:sz w:val="20"/>
          <w:szCs w:val="20"/>
          <w14:ligatures w14:val="standardContextual"/>
        </w:rPr>
      </w:pPr>
    </w:p>
    <w:p w14:paraId="4F41D86E" w14:textId="7501D6AE" w:rsidR="00A37B5E" w:rsidRPr="00A37B5E" w:rsidRDefault="00A37B5E" w:rsidP="00A37B5E">
      <w:pPr>
        <w:spacing w:after="0" w:line="240" w:lineRule="auto"/>
        <w:jc w:val="both"/>
        <w:rPr>
          <w:rFonts w:eastAsia="Aptos" w:cstheme="minorHAnsi"/>
          <w:i/>
          <w:iCs/>
          <w:kern w:val="2"/>
          <w:sz w:val="20"/>
          <w:szCs w:val="20"/>
          <w14:ligatures w14:val="standardContextual"/>
        </w:rPr>
      </w:pPr>
      <w:proofErr w:type="spellStart"/>
      <w:r>
        <w:rPr>
          <w:rFonts w:eastAsia="Aptos" w:cstheme="minorHAnsi"/>
          <w:i/>
          <w:iCs/>
          <w:kern w:val="2"/>
          <w:sz w:val="20"/>
          <w:szCs w:val="20"/>
          <w14:ligatures w14:val="standardContextual"/>
        </w:rPr>
        <w:t>Tab</w:t>
      </w:r>
      <w:proofErr w:type="spellEnd"/>
      <w:r>
        <w:rPr>
          <w:rFonts w:eastAsia="Aptos" w:cstheme="minorHAnsi"/>
          <w:i/>
          <w:iCs/>
          <w:kern w:val="2"/>
          <w:sz w:val="20"/>
          <w:szCs w:val="20"/>
          <w14:ligatures w14:val="standardContextual"/>
        </w:rPr>
        <w:t xml:space="preserve">. 5 </w:t>
      </w:r>
      <w:r w:rsidRPr="00A37B5E">
        <w:rPr>
          <w:rFonts w:eastAsia="Aptos" w:cstheme="minorHAnsi"/>
          <w:i/>
          <w:iCs/>
          <w:kern w:val="2"/>
          <w:sz w:val="20"/>
          <w:szCs w:val="20"/>
          <w14:ligatures w14:val="standardContextual"/>
        </w:rPr>
        <w:t>Imprese per principali fonti di finanziamento, settore di attività economica, classe di addetti e ripartizione territoriale. Valori assoluti e percentuali</w:t>
      </w:r>
      <w:r>
        <w:rPr>
          <w:rFonts w:eastAsia="Aptos" w:cstheme="minorHAnsi"/>
          <w:i/>
          <w:iCs/>
          <w:kern w:val="2"/>
          <w:sz w:val="20"/>
          <w:szCs w:val="20"/>
          <w14:ligatures w14:val="standardContextual"/>
        </w:rPr>
        <w:t xml:space="preserve"> (</w:t>
      </w:r>
      <w:r w:rsidRPr="00A37B5E">
        <w:rPr>
          <w:rFonts w:eastAsia="Aptos" w:cstheme="minorHAnsi"/>
          <w:i/>
          <w:iCs/>
          <w:kern w:val="2"/>
          <w:sz w:val="20"/>
          <w:szCs w:val="20"/>
          <w14:ligatures w14:val="standardContextual"/>
        </w:rPr>
        <w:t>2022</w:t>
      </w:r>
      <w:r>
        <w:rPr>
          <w:rFonts w:eastAsia="Aptos" w:cstheme="minorHAnsi"/>
          <w:i/>
          <w:iCs/>
          <w:kern w:val="2"/>
          <w:sz w:val="20"/>
          <w:szCs w:val="20"/>
          <w14:ligatures w14:val="standardContextual"/>
        </w:rPr>
        <w:t>)</w:t>
      </w:r>
    </w:p>
    <w:tbl>
      <w:tblPr>
        <w:tblStyle w:val="Grigliatabella"/>
        <w:tblW w:w="0" w:type="auto"/>
        <w:tblLayout w:type="fixed"/>
        <w:tblLook w:val="04A0" w:firstRow="1" w:lastRow="0" w:firstColumn="1" w:lastColumn="0" w:noHBand="0" w:noVBand="1"/>
      </w:tblPr>
      <w:tblGrid>
        <w:gridCol w:w="846"/>
        <w:gridCol w:w="850"/>
        <w:gridCol w:w="850"/>
        <w:gridCol w:w="851"/>
        <w:gridCol w:w="993"/>
        <w:gridCol w:w="850"/>
        <w:gridCol w:w="851"/>
        <w:gridCol w:w="850"/>
        <w:gridCol w:w="992"/>
        <w:gridCol w:w="993"/>
        <w:gridCol w:w="702"/>
      </w:tblGrid>
      <w:tr w:rsidR="00EC2C2C" w:rsidRPr="00674EB2" w14:paraId="18BBBC28" w14:textId="77777777" w:rsidTr="00674EB2">
        <w:trPr>
          <w:trHeight w:val="346"/>
          <w:tblHeader/>
        </w:trPr>
        <w:tc>
          <w:tcPr>
            <w:tcW w:w="846" w:type="dxa"/>
            <w:shd w:val="clear" w:color="auto" w:fill="2F5496" w:themeFill="accent1" w:themeFillShade="BF"/>
            <w:vAlign w:val="center"/>
            <w:hideMark/>
          </w:tcPr>
          <w:p w14:paraId="22214249" w14:textId="77777777" w:rsidR="00A37B5E" w:rsidRPr="00674EB2" w:rsidRDefault="00A37B5E" w:rsidP="00A37B5E">
            <w:pPr>
              <w:rPr>
                <w:rFonts w:eastAsia="Aptos" w:cstheme="minorHAnsi"/>
                <w:b/>
                <w:bCs/>
                <w:color w:val="FFFFFF" w:themeColor="background1"/>
                <w:kern w:val="2"/>
                <w:sz w:val="18"/>
                <w:szCs w:val="18"/>
                <w14:ligatures w14:val="standardContextual"/>
              </w:rPr>
            </w:pPr>
            <w:proofErr w:type="spellStart"/>
            <w:r w:rsidRPr="00674EB2">
              <w:rPr>
                <w:rFonts w:eastAsia="Aptos" w:cstheme="minorHAnsi"/>
                <w:b/>
                <w:bCs/>
                <w:color w:val="FFFFFF" w:themeColor="background1"/>
                <w:kern w:val="2"/>
                <w:sz w:val="18"/>
                <w:szCs w:val="18"/>
                <w14:ligatures w14:val="standardContextual"/>
              </w:rPr>
              <w:t>Dim</w:t>
            </w:r>
            <w:proofErr w:type="spellEnd"/>
            <w:r w:rsidRPr="00674EB2">
              <w:rPr>
                <w:rFonts w:eastAsia="Aptos" w:cstheme="minorHAnsi"/>
                <w:b/>
                <w:bCs/>
                <w:color w:val="FFFFFF" w:themeColor="background1"/>
                <w:kern w:val="2"/>
                <w:sz w:val="18"/>
                <w:szCs w:val="18"/>
                <w14:ligatures w14:val="standardContextual"/>
              </w:rPr>
              <w:t>.</w:t>
            </w:r>
          </w:p>
          <w:p w14:paraId="1795BC46" w14:textId="70F8BC0A" w:rsidR="00A37B5E" w:rsidRPr="00674EB2" w:rsidRDefault="00A37B5E" w:rsidP="00A37B5E">
            <w:pPr>
              <w:rPr>
                <w:rFonts w:eastAsia="Aptos" w:cstheme="minorHAnsi"/>
                <w:b/>
                <w:bCs/>
                <w:color w:val="FFFFFF" w:themeColor="background1"/>
                <w:kern w:val="2"/>
                <w:sz w:val="18"/>
                <w:szCs w:val="18"/>
                <w14:ligatures w14:val="standardContextual"/>
              </w:rPr>
            </w:pPr>
            <w:r w:rsidRPr="00674EB2">
              <w:rPr>
                <w:rFonts w:eastAsia="Aptos" w:cstheme="minorHAnsi"/>
                <w:b/>
                <w:bCs/>
                <w:color w:val="FFFFFF" w:themeColor="background1"/>
                <w:kern w:val="2"/>
                <w:sz w:val="18"/>
                <w:szCs w:val="18"/>
                <w14:ligatures w14:val="standardContextual"/>
              </w:rPr>
              <w:t>Area</w:t>
            </w:r>
          </w:p>
        </w:tc>
        <w:tc>
          <w:tcPr>
            <w:tcW w:w="850" w:type="dxa"/>
            <w:shd w:val="clear" w:color="auto" w:fill="2F5496" w:themeFill="accent1" w:themeFillShade="BF"/>
            <w:vAlign w:val="center"/>
            <w:hideMark/>
          </w:tcPr>
          <w:p w14:paraId="6664879E" w14:textId="23B61AB1" w:rsidR="00A37B5E" w:rsidRPr="00674EB2" w:rsidRDefault="00A37B5E" w:rsidP="00A37B5E">
            <w:pPr>
              <w:jc w:val="center"/>
              <w:rPr>
                <w:rFonts w:eastAsia="Aptos" w:cstheme="minorHAnsi"/>
                <w:b/>
                <w:bCs/>
                <w:color w:val="FFFFFF" w:themeColor="background1"/>
                <w:kern w:val="2"/>
                <w:sz w:val="18"/>
                <w:szCs w:val="18"/>
                <w14:ligatures w14:val="standardContextual"/>
              </w:rPr>
            </w:pPr>
            <w:proofErr w:type="spellStart"/>
            <w:r w:rsidRPr="00674EB2">
              <w:rPr>
                <w:rFonts w:eastAsia="Aptos" w:cstheme="minorHAnsi"/>
                <w:b/>
                <w:bCs/>
                <w:color w:val="FFFFFF" w:themeColor="background1"/>
                <w:kern w:val="2"/>
                <w:sz w:val="18"/>
                <w:szCs w:val="18"/>
                <w14:ligatures w14:val="standardContextual"/>
              </w:rPr>
              <w:t>Autofin</w:t>
            </w:r>
            <w:proofErr w:type="spellEnd"/>
            <w:r w:rsidRPr="00674EB2">
              <w:rPr>
                <w:rFonts w:eastAsia="Aptos" w:cstheme="minorHAnsi"/>
                <w:b/>
                <w:bCs/>
                <w:color w:val="FFFFFF" w:themeColor="background1"/>
                <w:kern w:val="2"/>
                <w:sz w:val="18"/>
                <w:szCs w:val="18"/>
                <w14:ligatures w14:val="standardContextual"/>
              </w:rPr>
              <w:t>.</w:t>
            </w:r>
          </w:p>
        </w:tc>
        <w:tc>
          <w:tcPr>
            <w:tcW w:w="850" w:type="dxa"/>
            <w:shd w:val="clear" w:color="auto" w:fill="2F5496" w:themeFill="accent1" w:themeFillShade="BF"/>
            <w:vAlign w:val="center"/>
            <w:hideMark/>
          </w:tcPr>
          <w:p w14:paraId="39B3AF76" w14:textId="77777777" w:rsidR="00A37B5E" w:rsidRPr="00674EB2" w:rsidRDefault="00A37B5E" w:rsidP="00A37B5E">
            <w:pPr>
              <w:jc w:val="center"/>
              <w:rPr>
                <w:rFonts w:eastAsia="Aptos" w:cstheme="minorHAnsi"/>
                <w:b/>
                <w:bCs/>
                <w:color w:val="FFFFFF" w:themeColor="background1"/>
                <w:kern w:val="2"/>
                <w:sz w:val="18"/>
                <w:szCs w:val="18"/>
                <w14:ligatures w14:val="standardContextual"/>
              </w:rPr>
            </w:pPr>
            <w:r w:rsidRPr="00674EB2">
              <w:rPr>
                <w:rFonts w:eastAsia="Aptos" w:cstheme="minorHAnsi"/>
                <w:b/>
                <w:bCs/>
                <w:color w:val="FFFFFF" w:themeColor="background1"/>
                <w:kern w:val="2"/>
                <w:sz w:val="18"/>
                <w:szCs w:val="18"/>
                <w14:ligatures w14:val="standardContextual"/>
              </w:rPr>
              <w:t>Equity (mezzi propri)</w:t>
            </w:r>
          </w:p>
        </w:tc>
        <w:tc>
          <w:tcPr>
            <w:tcW w:w="851" w:type="dxa"/>
            <w:shd w:val="clear" w:color="auto" w:fill="2F5496" w:themeFill="accent1" w:themeFillShade="BF"/>
            <w:vAlign w:val="center"/>
            <w:hideMark/>
          </w:tcPr>
          <w:p w14:paraId="3D5F0D65" w14:textId="3F8C4C6E" w:rsidR="00A37B5E" w:rsidRPr="00674EB2" w:rsidRDefault="00A37B5E" w:rsidP="00A37B5E">
            <w:pPr>
              <w:jc w:val="center"/>
              <w:rPr>
                <w:rFonts w:eastAsia="Aptos" w:cstheme="minorHAnsi"/>
                <w:b/>
                <w:bCs/>
                <w:color w:val="FFFFFF" w:themeColor="background1"/>
                <w:kern w:val="2"/>
                <w:sz w:val="18"/>
                <w:szCs w:val="18"/>
                <w14:ligatures w14:val="standardContextual"/>
              </w:rPr>
            </w:pPr>
            <w:r w:rsidRPr="00674EB2">
              <w:rPr>
                <w:rFonts w:eastAsia="Aptos" w:cstheme="minorHAnsi"/>
                <w:b/>
                <w:bCs/>
                <w:color w:val="FFFFFF" w:themeColor="background1"/>
                <w:kern w:val="2"/>
                <w:sz w:val="18"/>
                <w:szCs w:val="18"/>
                <w14:ligatures w14:val="standardContextual"/>
              </w:rPr>
              <w:t>Credito bancario breve termine (&lt;12 m)</w:t>
            </w:r>
          </w:p>
        </w:tc>
        <w:tc>
          <w:tcPr>
            <w:tcW w:w="993" w:type="dxa"/>
            <w:shd w:val="clear" w:color="auto" w:fill="2F5496" w:themeFill="accent1" w:themeFillShade="BF"/>
            <w:vAlign w:val="center"/>
            <w:hideMark/>
          </w:tcPr>
          <w:p w14:paraId="0291B922" w14:textId="0183B57F" w:rsidR="00A37B5E" w:rsidRPr="00674EB2" w:rsidRDefault="00A37B5E" w:rsidP="00A37B5E">
            <w:pPr>
              <w:jc w:val="center"/>
              <w:rPr>
                <w:rFonts w:eastAsia="Aptos" w:cstheme="minorHAnsi"/>
                <w:b/>
                <w:bCs/>
                <w:color w:val="FFFFFF" w:themeColor="background1"/>
                <w:kern w:val="2"/>
                <w:sz w:val="18"/>
                <w:szCs w:val="18"/>
                <w14:ligatures w14:val="standardContextual"/>
              </w:rPr>
            </w:pPr>
            <w:r w:rsidRPr="00674EB2">
              <w:rPr>
                <w:rFonts w:eastAsia="Aptos" w:cstheme="minorHAnsi"/>
                <w:b/>
                <w:bCs/>
                <w:color w:val="FFFFFF" w:themeColor="background1"/>
                <w:kern w:val="2"/>
                <w:sz w:val="18"/>
                <w:szCs w:val="18"/>
                <w14:ligatures w14:val="standardContextual"/>
              </w:rPr>
              <w:t>Credito bancario medio/ lungo termine (&gt;12 m)</w:t>
            </w:r>
          </w:p>
        </w:tc>
        <w:tc>
          <w:tcPr>
            <w:tcW w:w="850" w:type="dxa"/>
            <w:shd w:val="clear" w:color="auto" w:fill="2F5496" w:themeFill="accent1" w:themeFillShade="BF"/>
            <w:vAlign w:val="center"/>
            <w:hideMark/>
          </w:tcPr>
          <w:p w14:paraId="2B77EDDF" w14:textId="5EE2AF0C" w:rsidR="00A37B5E" w:rsidRPr="00674EB2" w:rsidRDefault="00A37B5E" w:rsidP="00A37B5E">
            <w:pPr>
              <w:jc w:val="center"/>
              <w:rPr>
                <w:rFonts w:eastAsia="Aptos" w:cstheme="minorHAnsi"/>
                <w:b/>
                <w:bCs/>
                <w:color w:val="FFFFFF" w:themeColor="background1"/>
                <w:kern w:val="2"/>
                <w:sz w:val="18"/>
                <w:szCs w:val="18"/>
                <w14:ligatures w14:val="standardContextual"/>
              </w:rPr>
            </w:pPr>
            <w:r w:rsidRPr="00674EB2">
              <w:rPr>
                <w:rFonts w:eastAsia="Aptos" w:cstheme="minorHAnsi"/>
                <w:b/>
                <w:bCs/>
                <w:color w:val="FFFFFF" w:themeColor="background1"/>
                <w:kern w:val="2"/>
                <w:sz w:val="18"/>
                <w:szCs w:val="18"/>
                <w14:ligatures w14:val="standardContextual"/>
              </w:rPr>
              <w:t xml:space="preserve">Credito </w:t>
            </w:r>
            <w:proofErr w:type="spellStart"/>
            <w:r w:rsidRPr="00674EB2">
              <w:rPr>
                <w:rFonts w:eastAsia="Aptos" w:cstheme="minorHAnsi"/>
                <w:b/>
                <w:bCs/>
                <w:color w:val="FFFFFF" w:themeColor="background1"/>
                <w:kern w:val="2"/>
                <w:sz w:val="18"/>
                <w:szCs w:val="18"/>
                <w14:ligatures w14:val="standardContextual"/>
              </w:rPr>
              <w:t>com.le</w:t>
            </w:r>
            <w:proofErr w:type="spellEnd"/>
          </w:p>
        </w:tc>
        <w:tc>
          <w:tcPr>
            <w:tcW w:w="851" w:type="dxa"/>
            <w:shd w:val="clear" w:color="auto" w:fill="2F5496" w:themeFill="accent1" w:themeFillShade="BF"/>
            <w:vAlign w:val="center"/>
            <w:hideMark/>
          </w:tcPr>
          <w:p w14:paraId="32ED5769" w14:textId="41255C53" w:rsidR="00A37B5E" w:rsidRPr="00674EB2" w:rsidRDefault="00A37B5E" w:rsidP="00A37B5E">
            <w:pPr>
              <w:jc w:val="center"/>
              <w:rPr>
                <w:rFonts w:eastAsia="Aptos" w:cstheme="minorHAnsi"/>
                <w:b/>
                <w:bCs/>
                <w:color w:val="FFFFFF" w:themeColor="background1"/>
                <w:kern w:val="2"/>
                <w:sz w:val="18"/>
                <w:szCs w:val="18"/>
                <w14:ligatures w14:val="standardContextual"/>
              </w:rPr>
            </w:pPr>
            <w:proofErr w:type="spellStart"/>
            <w:r w:rsidRPr="00674EB2">
              <w:rPr>
                <w:rFonts w:eastAsia="Aptos" w:cstheme="minorHAnsi"/>
                <w:b/>
                <w:bCs/>
                <w:color w:val="FFFFFF" w:themeColor="background1"/>
                <w:kern w:val="2"/>
                <w:sz w:val="18"/>
                <w:szCs w:val="18"/>
                <w14:ligatures w14:val="standardContextual"/>
              </w:rPr>
              <w:t>Contrib</w:t>
            </w:r>
            <w:proofErr w:type="spellEnd"/>
            <w:r w:rsidR="00076B4E" w:rsidRPr="00674EB2">
              <w:rPr>
                <w:rFonts w:eastAsia="Aptos" w:cstheme="minorHAnsi"/>
                <w:b/>
                <w:bCs/>
                <w:color w:val="FFFFFF" w:themeColor="background1"/>
                <w:kern w:val="2"/>
                <w:sz w:val="18"/>
                <w:szCs w:val="18"/>
                <w14:ligatures w14:val="standardContextual"/>
              </w:rPr>
              <w:t>.</w:t>
            </w:r>
            <w:r w:rsidRPr="00674EB2">
              <w:rPr>
                <w:rFonts w:eastAsia="Aptos" w:cstheme="minorHAnsi"/>
                <w:b/>
                <w:bCs/>
                <w:color w:val="FFFFFF" w:themeColor="background1"/>
                <w:kern w:val="2"/>
                <w:sz w:val="18"/>
                <w:szCs w:val="18"/>
                <w14:ligatures w14:val="standardContextual"/>
              </w:rPr>
              <w:t xml:space="preserve"> e/o fondi UE</w:t>
            </w:r>
          </w:p>
        </w:tc>
        <w:tc>
          <w:tcPr>
            <w:tcW w:w="850" w:type="dxa"/>
            <w:shd w:val="clear" w:color="auto" w:fill="2F5496" w:themeFill="accent1" w:themeFillShade="BF"/>
            <w:vAlign w:val="center"/>
            <w:hideMark/>
          </w:tcPr>
          <w:p w14:paraId="563F27FE" w14:textId="15DC9E65" w:rsidR="00A37B5E" w:rsidRPr="00674EB2" w:rsidRDefault="00A37B5E" w:rsidP="00A37B5E">
            <w:pPr>
              <w:jc w:val="center"/>
              <w:rPr>
                <w:rFonts w:eastAsia="Aptos" w:cstheme="minorHAnsi"/>
                <w:b/>
                <w:bCs/>
                <w:color w:val="FFFFFF" w:themeColor="background1"/>
                <w:kern w:val="2"/>
                <w:sz w:val="18"/>
                <w:szCs w:val="18"/>
                <w14:ligatures w14:val="standardContextual"/>
              </w:rPr>
            </w:pPr>
            <w:proofErr w:type="spellStart"/>
            <w:r w:rsidRPr="00674EB2">
              <w:rPr>
                <w:rFonts w:eastAsia="Aptos" w:cstheme="minorHAnsi"/>
                <w:b/>
                <w:bCs/>
                <w:color w:val="FFFFFF" w:themeColor="background1"/>
                <w:kern w:val="2"/>
                <w:sz w:val="18"/>
                <w:szCs w:val="18"/>
                <w14:ligatures w14:val="standardContextual"/>
              </w:rPr>
              <w:t>Finanz</w:t>
            </w:r>
            <w:proofErr w:type="spellEnd"/>
            <w:r w:rsidR="00674EB2" w:rsidRPr="00674EB2">
              <w:rPr>
                <w:rFonts w:eastAsia="Aptos" w:cstheme="minorHAnsi"/>
                <w:b/>
                <w:bCs/>
                <w:color w:val="FFFFFF" w:themeColor="background1"/>
                <w:kern w:val="2"/>
                <w:sz w:val="18"/>
                <w:szCs w:val="18"/>
                <w14:ligatures w14:val="standardContextual"/>
              </w:rPr>
              <w:t>.</w:t>
            </w:r>
            <w:r w:rsidRPr="00674EB2">
              <w:rPr>
                <w:rFonts w:eastAsia="Aptos" w:cstheme="minorHAnsi"/>
                <w:b/>
                <w:bCs/>
                <w:color w:val="FFFFFF" w:themeColor="background1"/>
                <w:kern w:val="2"/>
                <w:sz w:val="18"/>
                <w:szCs w:val="18"/>
                <w14:ligatures w14:val="standardContextual"/>
              </w:rPr>
              <w:t xml:space="preserve"> pubblici</w:t>
            </w:r>
          </w:p>
        </w:tc>
        <w:tc>
          <w:tcPr>
            <w:tcW w:w="992" w:type="dxa"/>
            <w:shd w:val="clear" w:color="auto" w:fill="2F5496" w:themeFill="accent1" w:themeFillShade="BF"/>
            <w:vAlign w:val="center"/>
            <w:hideMark/>
          </w:tcPr>
          <w:p w14:paraId="4FEE14BD" w14:textId="1B1FFC9A" w:rsidR="00A37B5E" w:rsidRPr="00674EB2" w:rsidRDefault="00A37B5E" w:rsidP="00A37B5E">
            <w:pPr>
              <w:jc w:val="center"/>
              <w:rPr>
                <w:rFonts w:eastAsia="Aptos" w:cstheme="minorHAnsi"/>
                <w:b/>
                <w:bCs/>
                <w:color w:val="FFFFFF" w:themeColor="background1"/>
                <w:kern w:val="2"/>
                <w:sz w:val="18"/>
                <w:szCs w:val="18"/>
                <w14:ligatures w14:val="standardContextual"/>
              </w:rPr>
            </w:pPr>
            <w:r w:rsidRPr="00674EB2">
              <w:rPr>
                <w:rFonts w:eastAsia="Aptos" w:cstheme="minorHAnsi"/>
                <w:b/>
                <w:bCs/>
                <w:color w:val="FFFFFF" w:themeColor="background1"/>
                <w:kern w:val="2"/>
                <w:sz w:val="18"/>
                <w:szCs w:val="18"/>
                <w14:ligatures w14:val="standardContextual"/>
              </w:rPr>
              <w:t>Leasing</w:t>
            </w:r>
            <w:r w:rsidR="00076B4E" w:rsidRPr="00674EB2">
              <w:rPr>
                <w:rFonts w:eastAsia="Aptos" w:cstheme="minorHAnsi"/>
                <w:b/>
                <w:bCs/>
                <w:color w:val="FFFFFF" w:themeColor="background1"/>
                <w:kern w:val="2"/>
                <w:sz w:val="18"/>
                <w:szCs w:val="18"/>
                <w14:ligatures w14:val="standardContextual"/>
              </w:rPr>
              <w:t>/</w:t>
            </w:r>
            <w:r w:rsidRPr="00674EB2">
              <w:rPr>
                <w:rFonts w:eastAsia="Aptos" w:cstheme="minorHAnsi"/>
                <w:b/>
                <w:bCs/>
                <w:color w:val="FFFFFF" w:themeColor="background1"/>
                <w:kern w:val="2"/>
                <w:sz w:val="18"/>
                <w:szCs w:val="18"/>
                <w14:ligatures w14:val="standardContextual"/>
              </w:rPr>
              <w:t xml:space="preserve"> factoring</w:t>
            </w:r>
          </w:p>
        </w:tc>
        <w:tc>
          <w:tcPr>
            <w:tcW w:w="993" w:type="dxa"/>
            <w:shd w:val="clear" w:color="auto" w:fill="2F5496" w:themeFill="accent1" w:themeFillShade="BF"/>
            <w:vAlign w:val="center"/>
            <w:hideMark/>
          </w:tcPr>
          <w:p w14:paraId="7B9E6BDA" w14:textId="5BDE5C58" w:rsidR="00A37B5E" w:rsidRPr="00674EB2" w:rsidRDefault="00A37B5E" w:rsidP="00A37B5E">
            <w:pPr>
              <w:jc w:val="center"/>
              <w:rPr>
                <w:rFonts w:eastAsia="Aptos" w:cstheme="minorHAnsi"/>
                <w:b/>
                <w:bCs/>
                <w:color w:val="FFFFFF" w:themeColor="background1"/>
                <w:kern w:val="2"/>
                <w:sz w:val="18"/>
                <w:szCs w:val="18"/>
                <w14:ligatures w14:val="standardContextual"/>
              </w:rPr>
            </w:pPr>
            <w:r w:rsidRPr="00674EB2">
              <w:rPr>
                <w:rFonts w:eastAsia="Aptos" w:cstheme="minorHAnsi"/>
                <w:b/>
                <w:bCs/>
                <w:color w:val="FFFFFF" w:themeColor="background1"/>
                <w:kern w:val="2"/>
                <w:sz w:val="18"/>
                <w:szCs w:val="18"/>
                <w14:ligatures w14:val="standardContextual"/>
              </w:rPr>
              <w:t xml:space="preserve">Incentivi e/o </w:t>
            </w:r>
            <w:proofErr w:type="spellStart"/>
            <w:r w:rsidRPr="00674EB2">
              <w:rPr>
                <w:rFonts w:eastAsia="Aptos" w:cstheme="minorHAnsi"/>
                <w:b/>
                <w:bCs/>
                <w:color w:val="FFFFFF" w:themeColor="background1"/>
                <w:kern w:val="2"/>
                <w:sz w:val="18"/>
                <w:szCs w:val="18"/>
                <w14:ligatures w14:val="standardContextual"/>
              </w:rPr>
              <w:t>agevolazi</w:t>
            </w:r>
            <w:proofErr w:type="spellEnd"/>
            <w:r w:rsidR="00076B4E" w:rsidRPr="00674EB2">
              <w:rPr>
                <w:rFonts w:eastAsia="Aptos" w:cstheme="minorHAnsi"/>
                <w:b/>
                <w:bCs/>
                <w:color w:val="FFFFFF" w:themeColor="background1"/>
                <w:kern w:val="2"/>
                <w:sz w:val="18"/>
                <w:szCs w:val="18"/>
                <w14:ligatures w14:val="standardContextual"/>
              </w:rPr>
              <w:t>.</w:t>
            </w:r>
            <w:r w:rsidRPr="00674EB2">
              <w:rPr>
                <w:rFonts w:eastAsia="Aptos" w:cstheme="minorHAnsi"/>
                <w:b/>
                <w:bCs/>
                <w:color w:val="FFFFFF" w:themeColor="background1"/>
                <w:kern w:val="2"/>
                <w:sz w:val="18"/>
                <w:szCs w:val="18"/>
                <w14:ligatures w14:val="standardContextual"/>
              </w:rPr>
              <w:t xml:space="preserve"> pubbliche</w:t>
            </w:r>
          </w:p>
        </w:tc>
        <w:tc>
          <w:tcPr>
            <w:tcW w:w="702" w:type="dxa"/>
            <w:shd w:val="clear" w:color="auto" w:fill="2F5496" w:themeFill="accent1" w:themeFillShade="BF"/>
            <w:vAlign w:val="center"/>
            <w:hideMark/>
          </w:tcPr>
          <w:p w14:paraId="079C7832" w14:textId="4111B104" w:rsidR="00A37B5E" w:rsidRPr="00674EB2" w:rsidRDefault="00A37B5E" w:rsidP="00A37B5E">
            <w:pPr>
              <w:jc w:val="center"/>
              <w:rPr>
                <w:rFonts w:eastAsia="Aptos" w:cstheme="minorHAnsi"/>
                <w:b/>
                <w:bCs/>
                <w:color w:val="FFFFFF" w:themeColor="background1"/>
                <w:kern w:val="2"/>
                <w:sz w:val="18"/>
                <w:szCs w:val="18"/>
                <w14:ligatures w14:val="standardContextual"/>
              </w:rPr>
            </w:pPr>
            <w:r w:rsidRPr="00674EB2">
              <w:rPr>
                <w:rFonts w:eastAsia="Aptos" w:cstheme="minorHAnsi"/>
                <w:b/>
                <w:bCs/>
                <w:color w:val="FFFFFF" w:themeColor="background1"/>
                <w:kern w:val="2"/>
                <w:sz w:val="18"/>
                <w:szCs w:val="18"/>
                <w14:ligatures w14:val="standardContextual"/>
              </w:rPr>
              <w:t>Altre fonti</w:t>
            </w:r>
          </w:p>
        </w:tc>
      </w:tr>
      <w:tr w:rsidR="00076B4E" w:rsidRPr="00A37B5E" w14:paraId="30BB1845" w14:textId="77777777" w:rsidTr="00674EB2">
        <w:trPr>
          <w:trHeight w:val="63"/>
        </w:trPr>
        <w:tc>
          <w:tcPr>
            <w:tcW w:w="846" w:type="dxa"/>
            <w:noWrap/>
            <w:hideMark/>
          </w:tcPr>
          <w:p w14:paraId="752E0187" w14:textId="77777777" w:rsidR="00A37B5E" w:rsidRPr="00A37B5E" w:rsidRDefault="00A37B5E" w:rsidP="00A37B5E">
            <w:pPr>
              <w:jc w:val="both"/>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3-9</w:t>
            </w:r>
          </w:p>
        </w:tc>
        <w:tc>
          <w:tcPr>
            <w:tcW w:w="850" w:type="dxa"/>
            <w:noWrap/>
            <w:vAlign w:val="center"/>
            <w:hideMark/>
          </w:tcPr>
          <w:p w14:paraId="00FD7E53"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82,3</w:t>
            </w:r>
          </w:p>
        </w:tc>
        <w:tc>
          <w:tcPr>
            <w:tcW w:w="850" w:type="dxa"/>
            <w:noWrap/>
            <w:vAlign w:val="center"/>
            <w:hideMark/>
          </w:tcPr>
          <w:p w14:paraId="17E3E762"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2,3</w:t>
            </w:r>
          </w:p>
        </w:tc>
        <w:tc>
          <w:tcPr>
            <w:tcW w:w="851" w:type="dxa"/>
            <w:noWrap/>
            <w:vAlign w:val="center"/>
            <w:hideMark/>
          </w:tcPr>
          <w:p w14:paraId="1D305B0B"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9,4</w:t>
            </w:r>
          </w:p>
        </w:tc>
        <w:tc>
          <w:tcPr>
            <w:tcW w:w="993" w:type="dxa"/>
            <w:noWrap/>
            <w:vAlign w:val="center"/>
            <w:hideMark/>
          </w:tcPr>
          <w:p w14:paraId="63217C10"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25,1</w:t>
            </w:r>
          </w:p>
        </w:tc>
        <w:tc>
          <w:tcPr>
            <w:tcW w:w="850" w:type="dxa"/>
            <w:noWrap/>
            <w:vAlign w:val="center"/>
            <w:hideMark/>
          </w:tcPr>
          <w:p w14:paraId="16A169D0"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4,7</w:t>
            </w:r>
          </w:p>
        </w:tc>
        <w:tc>
          <w:tcPr>
            <w:tcW w:w="851" w:type="dxa"/>
            <w:noWrap/>
            <w:vAlign w:val="center"/>
            <w:hideMark/>
          </w:tcPr>
          <w:p w14:paraId="49651340"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2,1</w:t>
            </w:r>
          </w:p>
        </w:tc>
        <w:tc>
          <w:tcPr>
            <w:tcW w:w="850" w:type="dxa"/>
            <w:noWrap/>
            <w:vAlign w:val="center"/>
            <w:hideMark/>
          </w:tcPr>
          <w:p w14:paraId="45A04B0D"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1,8</w:t>
            </w:r>
          </w:p>
        </w:tc>
        <w:tc>
          <w:tcPr>
            <w:tcW w:w="992" w:type="dxa"/>
            <w:noWrap/>
            <w:vAlign w:val="center"/>
            <w:hideMark/>
          </w:tcPr>
          <w:p w14:paraId="316C1288"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6,8</w:t>
            </w:r>
          </w:p>
        </w:tc>
        <w:tc>
          <w:tcPr>
            <w:tcW w:w="993" w:type="dxa"/>
            <w:noWrap/>
            <w:vAlign w:val="center"/>
            <w:hideMark/>
          </w:tcPr>
          <w:p w14:paraId="1A0FB8F6"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2,9</w:t>
            </w:r>
          </w:p>
        </w:tc>
        <w:tc>
          <w:tcPr>
            <w:tcW w:w="702" w:type="dxa"/>
            <w:noWrap/>
            <w:vAlign w:val="center"/>
            <w:hideMark/>
          </w:tcPr>
          <w:p w14:paraId="683768C4"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2,4</w:t>
            </w:r>
          </w:p>
        </w:tc>
      </w:tr>
      <w:tr w:rsidR="00076B4E" w:rsidRPr="00A37B5E" w14:paraId="474C4856" w14:textId="77777777" w:rsidTr="00674EB2">
        <w:trPr>
          <w:trHeight w:val="63"/>
        </w:trPr>
        <w:tc>
          <w:tcPr>
            <w:tcW w:w="846" w:type="dxa"/>
            <w:noWrap/>
            <w:hideMark/>
          </w:tcPr>
          <w:p w14:paraId="149EEC94" w14:textId="77777777" w:rsidR="00A37B5E" w:rsidRPr="00A37B5E" w:rsidRDefault="00A37B5E" w:rsidP="00A37B5E">
            <w:pPr>
              <w:jc w:val="both"/>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10-19</w:t>
            </w:r>
          </w:p>
        </w:tc>
        <w:tc>
          <w:tcPr>
            <w:tcW w:w="850" w:type="dxa"/>
            <w:noWrap/>
            <w:vAlign w:val="center"/>
            <w:hideMark/>
          </w:tcPr>
          <w:p w14:paraId="2FE6B79E"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72,8</w:t>
            </w:r>
          </w:p>
        </w:tc>
        <w:tc>
          <w:tcPr>
            <w:tcW w:w="850" w:type="dxa"/>
            <w:noWrap/>
            <w:vAlign w:val="center"/>
            <w:hideMark/>
          </w:tcPr>
          <w:p w14:paraId="411EF7AC"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3,5</w:t>
            </w:r>
          </w:p>
        </w:tc>
        <w:tc>
          <w:tcPr>
            <w:tcW w:w="851" w:type="dxa"/>
            <w:noWrap/>
            <w:vAlign w:val="center"/>
            <w:hideMark/>
          </w:tcPr>
          <w:p w14:paraId="5C106211"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16,8</w:t>
            </w:r>
          </w:p>
        </w:tc>
        <w:tc>
          <w:tcPr>
            <w:tcW w:w="993" w:type="dxa"/>
            <w:noWrap/>
            <w:vAlign w:val="center"/>
            <w:hideMark/>
          </w:tcPr>
          <w:p w14:paraId="7B8F052E"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37,2</w:t>
            </w:r>
          </w:p>
        </w:tc>
        <w:tc>
          <w:tcPr>
            <w:tcW w:w="850" w:type="dxa"/>
            <w:noWrap/>
            <w:vAlign w:val="center"/>
            <w:hideMark/>
          </w:tcPr>
          <w:p w14:paraId="38C6C234"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7,8</w:t>
            </w:r>
          </w:p>
        </w:tc>
        <w:tc>
          <w:tcPr>
            <w:tcW w:w="851" w:type="dxa"/>
            <w:noWrap/>
            <w:vAlign w:val="center"/>
            <w:hideMark/>
          </w:tcPr>
          <w:p w14:paraId="3C150E8C"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3,3</w:t>
            </w:r>
          </w:p>
        </w:tc>
        <w:tc>
          <w:tcPr>
            <w:tcW w:w="850" w:type="dxa"/>
            <w:noWrap/>
            <w:vAlign w:val="center"/>
            <w:hideMark/>
          </w:tcPr>
          <w:p w14:paraId="0EDBD98B"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2,5</w:t>
            </w:r>
          </w:p>
        </w:tc>
        <w:tc>
          <w:tcPr>
            <w:tcW w:w="992" w:type="dxa"/>
            <w:noWrap/>
            <w:vAlign w:val="center"/>
            <w:hideMark/>
          </w:tcPr>
          <w:p w14:paraId="23356451"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15,8</w:t>
            </w:r>
          </w:p>
        </w:tc>
        <w:tc>
          <w:tcPr>
            <w:tcW w:w="993" w:type="dxa"/>
            <w:noWrap/>
            <w:vAlign w:val="center"/>
            <w:hideMark/>
          </w:tcPr>
          <w:p w14:paraId="52564174"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5,0</w:t>
            </w:r>
          </w:p>
        </w:tc>
        <w:tc>
          <w:tcPr>
            <w:tcW w:w="702" w:type="dxa"/>
            <w:noWrap/>
            <w:vAlign w:val="center"/>
            <w:hideMark/>
          </w:tcPr>
          <w:p w14:paraId="5219EAA9"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2,9</w:t>
            </w:r>
          </w:p>
        </w:tc>
      </w:tr>
      <w:tr w:rsidR="00076B4E" w:rsidRPr="00A37B5E" w14:paraId="69E8509D" w14:textId="77777777" w:rsidTr="00674EB2">
        <w:trPr>
          <w:trHeight w:val="63"/>
        </w:trPr>
        <w:tc>
          <w:tcPr>
            <w:tcW w:w="846" w:type="dxa"/>
            <w:noWrap/>
            <w:hideMark/>
          </w:tcPr>
          <w:p w14:paraId="547FD725" w14:textId="77777777" w:rsidR="00A37B5E" w:rsidRPr="00A37B5E" w:rsidRDefault="00A37B5E" w:rsidP="00A37B5E">
            <w:pPr>
              <w:jc w:val="both"/>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20-49</w:t>
            </w:r>
          </w:p>
        </w:tc>
        <w:tc>
          <w:tcPr>
            <w:tcW w:w="850" w:type="dxa"/>
            <w:noWrap/>
            <w:vAlign w:val="center"/>
            <w:hideMark/>
          </w:tcPr>
          <w:p w14:paraId="476D805B"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72,4</w:t>
            </w:r>
          </w:p>
        </w:tc>
        <w:tc>
          <w:tcPr>
            <w:tcW w:w="850" w:type="dxa"/>
            <w:noWrap/>
            <w:vAlign w:val="center"/>
            <w:hideMark/>
          </w:tcPr>
          <w:p w14:paraId="4EE1FBB3"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4,4</w:t>
            </w:r>
          </w:p>
        </w:tc>
        <w:tc>
          <w:tcPr>
            <w:tcW w:w="851" w:type="dxa"/>
            <w:noWrap/>
            <w:vAlign w:val="center"/>
            <w:hideMark/>
          </w:tcPr>
          <w:p w14:paraId="4E81D74C"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22,1</w:t>
            </w:r>
          </w:p>
        </w:tc>
        <w:tc>
          <w:tcPr>
            <w:tcW w:w="993" w:type="dxa"/>
            <w:noWrap/>
            <w:vAlign w:val="center"/>
            <w:hideMark/>
          </w:tcPr>
          <w:p w14:paraId="662D4D35"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43,2</w:t>
            </w:r>
          </w:p>
        </w:tc>
        <w:tc>
          <w:tcPr>
            <w:tcW w:w="850" w:type="dxa"/>
            <w:noWrap/>
            <w:vAlign w:val="center"/>
            <w:hideMark/>
          </w:tcPr>
          <w:p w14:paraId="72F7D8D8"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9,5</w:t>
            </w:r>
          </w:p>
        </w:tc>
        <w:tc>
          <w:tcPr>
            <w:tcW w:w="851" w:type="dxa"/>
            <w:noWrap/>
            <w:vAlign w:val="center"/>
            <w:hideMark/>
          </w:tcPr>
          <w:p w14:paraId="2946DA92"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4,8</w:t>
            </w:r>
          </w:p>
        </w:tc>
        <w:tc>
          <w:tcPr>
            <w:tcW w:w="850" w:type="dxa"/>
            <w:noWrap/>
            <w:vAlign w:val="center"/>
            <w:hideMark/>
          </w:tcPr>
          <w:p w14:paraId="1E3BCF82"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3,0</w:t>
            </w:r>
          </w:p>
        </w:tc>
        <w:tc>
          <w:tcPr>
            <w:tcW w:w="992" w:type="dxa"/>
            <w:noWrap/>
            <w:vAlign w:val="center"/>
            <w:hideMark/>
          </w:tcPr>
          <w:p w14:paraId="7794781A"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20,5</w:t>
            </w:r>
          </w:p>
        </w:tc>
        <w:tc>
          <w:tcPr>
            <w:tcW w:w="993" w:type="dxa"/>
            <w:noWrap/>
            <w:vAlign w:val="center"/>
            <w:hideMark/>
          </w:tcPr>
          <w:p w14:paraId="15D08166"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7,7</w:t>
            </w:r>
          </w:p>
        </w:tc>
        <w:tc>
          <w:tcPr>
            <w:tcW w:w="702" w:type="dxa"/>
            <w:noWrap/>
            <w:vAlign w:val="center"/>
            <w:hideMark/>
          </w:tcPr>
          <w:p w14:paraId="7B00D495"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2,7</w:t>
            </w:r>
          </w:p>
        </w:tc>
      </w:tr>
      <w:tr w:rsidR="00076B4E" w:rsidRPr="00A37B5E" w14:paraId="5969786A" w14:textId="77777777" w:rsidTr="00674EB2">
        <w:trPr>
          <w:trHeight w:val="63"/>
        </w:trPr>
        <w:tc>
          <w:tcPr>
            <w:tcW w:w="846" w:type="dxa"/>
            <w:noWrap/>
            <w:hideMark/>
          </w:tcPr>
          <w:p w14:paraId="106973E0" w14:textId="77777777" w:rsidR="00A37B5E" w:rsidRPr="00A37B5E" w:rsidRDefault="00A37B5E" w:rsidP="00A37B5E">
            <w:pPr>
              <w:jc w:val="both"/>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50-99</w:t>
            </w:r>
          </w:p>
        </w:tc>
        <w:tc>
          <w:tcPr>
            <w:tcW w:w="850" w:type="dxa"/>
            <w:noWrap/>
            <w:vAlign w:val="center"/>
            <w:hideMark/>
          </w:tcPr>
          <w:p w14:paraId="388F0DE0"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73,6</w:t>
            </w:r>
          </w:p>
        </w:tc>
        <w:tc>
          <w:tcPr>
            <w:tcW w:w="850" w:type="dxa"/>
            <w:noWrap/>
            <w:vAlign w:val="center"/>
            <w:hideMark/>
          </w:tcPr>
          <w:p w14:paraId="63141860"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6,9</w:t>
            </w:r>
          </w:p>
        </w:tc>
        <w:tc>
          <w:tcPr>
            <w:tcW w:w="851" w:type="dxa"/>
            <w:noWrap/>
            <w:vAlign w:val="center"/>
            <w:hideMark/>
          </w:tcPr>
          <w:p w14:paraId="14F7F817"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25,8</w:t>
            </w:r>
          </w:p>
        </w:tc>
        <w:tc>
          <w:tcPr>
            <w:tcW w:w="993" w:type="dxa"/>
            <w:noWrap/>
            <w:vAlign w:val="center"/>
            <w:hideMark/>
          </w:tcPr>
          <w:p w14:paraId="07F53C56"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44,7</w:t>
            </w:r>
          </w:p>
        </w:tc>
        <w:tc>
          <w:tcPr>
            <w:tcW w:w="850" w:type="dxa"/>
            <w:noWrap/>
            <w:vAlign w:val="center"/>
            <w:hideMark/>
          </w:tcPr>
          <w:p w14:paraId="661868A3"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10,6</w:t>
            </w:r>
          </w:p>
        </w:tc>
        <w:tc>
          <w:tcPr>
            <w:tcW w:w="851" w:type="dxa"/>
            <w:noWrap/>
            <w:vAlign w:val="center"/>
            <w:hideMark/>
          </w:tcPr>
          <w:p w14:paraId="5173144C"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5,5</w:t>
            </w:r>
          </w:p>
        </w:tc>
        <w:tc>
          <w:tcPr>
            <w:tcW w:w="850" w:type="dxa"/>
            <w:noWrap/>
            <w:vAlign w:val="center"/>
            <w:hideMark/>
          </w:tcPr>
          <w:p w14:paraId="46DE94B4"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3,4</w:t>
            </w:r>
          </w:p>
        </w:tc>
        <w:tc>
          <w:tcPr>
            <w:tcW w:w="992" w:type="dxa"/>
            <w:noWrap/>
            <w:vAlign w:val="center"/>
            <w:hideMark/>
          </w:tcPr>
          <w:p w14:paraId="63FBA936"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22,6</w:t>
            </w:r>
          </w:p>
        </w:tc>
        <w:tc>
          <w:tcPr>
            <w:tcW w:w="993" w:type="dxa"/>
            <w:noWrap/>
            <w:vAlign w:val="center"/>
            <w:hideMark/>
          </w:tcPr>
          <w:p w14:paraId="48976511"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8,0</w:t>
            </w:r>
          </w:p>
        </w:tc>
        <w:tc>
          <w:tcPr>
            <w:tcW w:w="702" w:type="dxa"/>
            <w:noWrap/>
            <w:vAlign w:val="center"/>
            <w:hideMark/>
          </w:tcPr>
          <w:p w14:paraId="730D1EF4"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3,0</w:t>
            </w:r>
          </w:p>
        </w:tc>
      </w:tr>
      <w:tr w:rsidR="00076B4E" w:rsidRPr="00A37B5E" w14:paraId="0CC9E4F0" w14:textId="77777777" w:rsidTr="00674EB2">
        <w:trPr>
          <w:trHeight w:val="63"/>
        </w:trPr>
        <w:tc>
          <w:tcPr>
            <w:tcW w:w="846" w:type="dxa"/>
            <w:noWrap/>
            <w:hideMark/>
          </w:tcPr>
          <w:p w14:paraId="3E3D6B6D" w14:textId="77777777" w:rsidR="00A37B5E" w:rsidRPr="00A37B5E" w:rsidRDefault="00A37B5E" w:rsidP="00A37B5E">
            <w:pPr>
              <w:jc w:val="both"/>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100-249</w:t>
            </w:r>
          </w:p>
        </w:tc>
        <w:tc>
          <w:tcPr>
            <w:tcW w:w="850" w:type="dxa"/>
            <w:noWrap/>
            <w:vAlign w:val="center"/>
            <w:hideMark/>
          </w:tcPr>
          <w:p w14:paraId="554F042C"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75,0</w:t>
            </w:r>
          </w:p>
        </w:tc>
        <w:tc>
          <w:tcPr>
            <w:tcW w:w="850" w:type="dxa"/>
            <w:noWrap/>
            <w:vAlign w:val="center"/>
            <w:hideMark/>
          </w:tcPr>
          <w:p w14:paraId="535FE213"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9,4</w:t>
            </w:r>
          </w:p>
        </w:tc>
        <w:tc>
          <w:tcPr>
            <w:tcW w:w="851" w:type="dxa"/>
            <w:noWrap/>
            <w:vAlign w:val="center"/>
            <w:hideMark/>
          </w:tcPr>
          <w:p w14:paraId="2070E7CB"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29,0</w:t>
            </w:r>
          </w:p>
        </w:tc>
        <w:tc>
          <w:tcPr>
            <w:tcW w:w="993" w:type="dxa"/>
            <w:noWrap/>
            <w:vAlign w:val="center"/>
            <w:hideMark/>
          </w:tcPr>
          <w:p w14:paraId="26791803"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43,9</w:t>
            </w:r>
          </w:p>
        </w:tc>
        <w:tc>
          <w:tcPr>
            <w:tcW w:w="850" w:type="dxa"/>
            <w:noWrap/>
            <w:vAlign w:val="center"/>
            <w:hideMark/>
          </w:tcPr>
          <w:p w14:paraId="0E9AE696"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11,6</w:t>
            </w:r>
          </w:p>
        </w:tc>
        <w:tc>
          <w:tcPr>
            <w:tcW w:w="851" w:type="dxa"/>
            <w:noWrap/>
            <w:vAlign w:val="center"/>
            <w:hideMark/>
          </w:tcPr>
          <w:p w14:paraId="678CC482"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5,1</w:t>
            </w:r>
          </w:p>
        </w:tc>
        <w:tc>
          <w:tcPr>
            <w:tcW w:w="850" w:type="dxa"/>
            <w:noWrap/>
            <w:vAlign w:val="center"/>
            <w:hideMark/>
          </w:tcPr>
          <w:p w14:paraId="1E5B9C06"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3,5</w:t>
            </w:r>
          </w:p>
        </w:tc>
        <w:tc>
          <w:tcPr>
            <w:tcW w:w="992" w:type="dxa"/>
            <w:noWrap/>
            <w:vAlign w:val="center"/>
            <w:hideMark/>
          </w:tcPr>
          <w:p w14:paraId="3B7D6221"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22,9</w:t>
            </w:r>
          </w:p>
        </w:tc>
        <w:tc>
          <w:tcPr>
            <w:tcW w:w="993" w:type="dxa"/>
            <w:noWrap/>
            <w:vAlign w:val="center"/>
            <w:hideMark/>
          </w:tcPr>
          <w:p w14:paraId="542A5E8F"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7,2</w:t>
            </w:r>
          </w:p>
        </w:tc>
        <w:tc>
          <w:tcPr>
            <w:tcW w:w="702" w:type="dxa"/>
            <w:noWrap/>
            <w:vAlign w:val="center"/>
            <w:hideMark/>
          </w:tcPr>
          <w:p w14:paraId="787A743B"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2,7</w:t>
            </w:r>
          </w:p>
        </w:tc>
      </w:tr>
      <w:tr w:rsidR="00076B4E" w:rsidRPr="00A37B5E" w14:paraId="2CF54EAE" w14:textId="77777777" w:rsidTr="00674EB2">
        <w:trPr>
          <w:trHeight w:val="63"/>
        </w:trPr>
        <w:tc>
          <w:tcPr>
            <w:tcW w:w="846" w:type="dxa"/>
            <w:noWrap/>
            <w:hideMark/>
          </w:tcPr>
          <w:p w14:paraId="38607513" w14:textId="2848C973" w:rsidR="00A37B5E" w:rsidRPr="00A37B5E" w:rsidRDefault="00A37B5E" w:rsidP="00A37B5E">
            <w:pPr>
              <w:jc w:val="both"/>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 xml:space="preserve">250 </w:t>
            </w:r>
            <w:r>
              <w:rPr>
                <w:rFonts w:eastAsia="Aptos" w:cstheme="minorHAnsi"/>
                <w:kern w:val="2"/>
                <w:sz w:val="18"/>
                <w:szCs w:val="18"/>
                <w14:ligatures w14:val="standardContextual"/>
              </w:rPr>
              <w:t xml:space="preserve">&gt; </w:t>
            </w:r>
          </w:p>
        </w:tc>
        <w:tc>
          <w:tcPr>
            <w:tcW w:w="850" w:type="dxa"/>
            <w:noWrap/>
            <w:vAlign w:val="center"/>
            <w:hideMark/>
          </w:tcPr>
          <w:p w14:paraId="677821FB"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74,9</w:t>
            </w:r>
          </w:p>
        </w:tc>
        <w:tc>
          <w:tcPr>
            <w:tcW w:w="850" w:type="dxa"/>
            <w:noWrap/>
            <w:vAlign w:val="center"/>
            <w:hideMark/>
          </w:tcPr>
          <w:p w14:paraId="06BC9059"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13,6</w:t>
            </w:r>
          </w:p>
        </w:tc>
        <w:tc>
          <w:tcPr>
            <w:tcW w:w="851" w:type="dxa"/>
            <w:noWrap/>
            <w:vAlign w:val="center"/>
            <w:hideMark/>
          </w:tcPr>
          <w:p w14:paraId="0AFA6AF8"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30,6</w:t>
            </w:r>
          </w:p>
        </w:tc>
        <w:tc>
          <w:tcPr>
            <w:tcW w:w="993" w:type="dxa"/>
            <w:noWrap/>
            <w:vAlign w:val="center"/>
            <w:hideMark/>
          </w:tcPr>
          <w:p w14:paraId="43E66E41"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39,2</w:t>
            </w:r>
          </w:p>
        </w:tc>
        <w:tc>
          <w:tcPr>
            <w:tcW w:w="850" w:type="dxa"/>
            <w:noWrap/>
            <w:vAlign w:val="center"/>
            <w:hideMark/>
          </w:tcPr>
          <w:p w14:paraId="7A209C5C"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13,0</w:t>
            </w:r>
          </w:p>
        </w:tc>
        <w:tc>
          <w:tcPr>
            <w:tcW w:w="851" w:type="dxa"/>
            <w:noWrap/>
            <w:vAlign w:val="center"/>
            <w:hideMark/>
          </w:tcPr>
          <w:p w14:paraId="501B7313"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5,4</w:t>
            </w:r>
          </w:p>
        </w:tc>
        <w:tc>
          <w:tcPr>
            <w:tcW w:w="850" w:type="dxa"/>
            <w:noWrap/>
            <w:vAlign w:val="center"/>
            <w:hideMark/>
          </w:tcPr>
          <w:p w14:paraId="481A9145"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3,8</w:t>
            </w:r>
          </w:p>
        </w:tc>
        <w:tc>
          <w:tcPr>
            <w:tcW w:w="992" w:type="dxa"/>
            <w:noWrap/>
            <w:vAlign w:val="center"/>
            <w:hideMark/>
          </w:tcPr>
          <w:p w14:paraId="3E43D716"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21,5</w:t>
            </w:r>
          </w:p>
        </w:tc>
        <w:tc>
          <w:tcPr>
            <w:tcW w:w="993" w:type="dxa"/>
            <w:noWrap/>
            <w:vAlign w:val="center"/>
            <w:hideMark/>
          </w:tcPr>
          <w:p w14:paraId="4B9F4AB9"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6,6</w:t>
            </w:r>
          </w:p>
        </w:tc>
        <w:tc>
          <w:tcPr>
            <w:tcW w:w="702" w:type="dxa"/>
            <w:noWrap/>
            <w:vAlign w:val="center"/>
            <w:hideMark/>
          </w:tcPr>
          <w:p w14:paraId="39026BFB"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3,9</w:t>
            </w:r>
          </w:p>
        </w:tc>
      </w:tr>
      <w:tr w:rsidR="00076B4E" w:rsidRPr="00A37B5E" w14:paraId="167F9553" w14:textId="77777777" w:rsidTr="00674EB2">
        <w:trPr>
          <w:trHeight w:val="63"/>
        </w:trPr>
        <w:tc>
          <w:tcPr>
            <w:tcW w:w="846" w:type="dxa"/>
            <w:noWrap/>
            <w:hideMark/>
          </w:tcPr>
          <w:p w14:paraId="59D84286" w14:textId="77777777" w:rsidR="00A37B5E" w:rsidRPr="00A37B5E" w:rsidRDefault="00A37B5E" w:rsidP="00A37B5E">
            <w:pPr>
              <w:jc w:val="both"/>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Totale</w:t>
            </w:r>
          </w:p>
        </w:tc>
        <w:tc>
          <w:tcPr>
            <w:tcW w:w="850" w:type="dxa"/>
            <w:noWrap/>
            <w:vAlign w:val="center"/>
            <w:hideMark/>
          </w:tcPr>
          <w:p w14:paraId="587CFC4C"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80,3</w:t>
            </w:r>
          </w:p>
        </w:tc>
        <w:tc>
          <w:tcPr>
            <w:tcW w:w="850" w:type="dxa"/>
            <w:noWrap/>
            <w:vAlign w:val="center"/>
            <w:hideMark/>
          </w:tcPr>
          <w:p w14:paraId="4DE7E5D8"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2,7</w:t>
            </w:r>
          </w:p>
        </w:tc>
        <w:tc>
          <w:tcPr>
            <w:tcW w:w="851" w:type="dxa"/>
            <w:noWrap/>
            <w:vAlign w:val="center"/>
            <w:hideMark/>
          </w:tcPr>
          <w:p w14:paraId="5469816F"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11,5</w:t>
            </w:r>
          </w:p>
        </w:tc>
        <w:tc>
          <w:tcPr>
            <w:tcW w:w="993" w:type="dxa"/>
            <w:noWrap/>
            <w:vAlign w:val="center"/>
            <w:hideMark/>
          </w:tcPr>
          <w:p w14:paraId="6E9763BA"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28,1</w:t>
            </w:r>
          </w:p>
        </w:tc>
        <w:tc>
          <w:tcPr>
            <w:tcW w:w="850" w:type="dxa"/>
            <w:noWrap/>
            <w:vAlign w:val="center"/>
            <w:hideMark/>
          </w:tcPr>
          <w:p w14:paraId="40D9BFB2"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5,5</w:t>
            </w:r>
          </w:p>
        </w:tc>
        <w:tc>
          <w:tcPr>
            <w:tcW w:w="851" w:type="dxa"/>
            <w:noWrap/>
            <w:vAlign w:val="center"/>
            <w:hideMark/>
          </w:tcPr>
          <w:p w14:paraId="7C9BE381"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2,5</w:t>
            </w:r>
          </w:p>
        </w:tc>
        <w:tc>
          <w:tcPr>
            <w:tcW w:w="850" w:type="dxa"/>
            <w:noWrap/>
            <w:vAlign w:val="center"/>
            <w:hideMark/>
          </w:tcPr>
          <w:p w14:paraId="0373D5E3"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2,0</w:t>
            </w:r>
          </w:p>
        </w:tc>
        <w:tc>
          <w:tcPr>
            <w:tcW w:w="992" w:type="dxa"/>
            <w:noWrap/>
            <w:vAlign w:val="center"/>
            <w:hideMark/>
          </w:tcPr>
          <w:p w14:paraId="0DE1090F"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9,1</w:t>
            </w:r>
          </w:p>
        </w:tc>
        <w:tc>
          <w:tcPr>
            <w:tcW w:w="993" w:type="dxa"/>
            <w:noWrap/>
            <w:vAlign w:val="center"/>
            <w:hideMark/>
          </w:tcPr>
          <w:p w14:paraId="0D2542A5"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3,5</w:t>
            </w:r>
          </w:p>
        </w:tc>
        <w:tc>
          <w:tcPr>
            <w:tcW w:w="702" w:type="dxa"/>
            <w:noWrap/>
            <w:vAlign w:val="center"/>
            <w:hideMark/>
          </w:tcPr>
          <w:p w14:paraId="697A5E46"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2,5</w:t>
            </w:r>
          </w:p>
        </w:tc>
      </w:tr>
      <w:tr w:rsidR="00A37B5E" w:rsidRPr="00A37B5E" w14:paraId="7F9FE0EC" w14:textId="77777777" w:rsidTr="00B52243">
        <w:trPr>
          <w:trHeight w:val="63"/>
        </w:trPr>
        <w:tc>
          <w:tcPr>
            <w:tcW w:w="846" w:type="dxa"/>
            <w:shd w:val="clear" w:color="auto" w:fill="D5DCE4" w:themeFill="text2" w:themeFillTint="33"/>
            <w:noWrap/>
            <w:hideMark/>
          </w:tcPr>
          <w:p w14:paraId="3790483A" w14:textId="77777777" w:rsidR="00A37B5E" w:rsidRPr="00A37B5E" w:rsidRDefault="00A37B5E" w:rsidP="00A37B5E">
            <w:pPr>
              <w:jc w:val="both"/>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Centro</w:t>
            </w:r>
          </w:p>
        </w:tc>
        <w:tc>
          <w:tcPr>
            <w:tcW w:w="850" w:type="dxa"/>
            <w:shd w:val="clear" w:color="auto" w:fill="D5DCE4" w:themeFill="text2" w:themeFillTint="33"/>
            <w:noWrap/>
            <w:vAlign w:val="center"/>
            <w:hideMark/>
          </w:tcPr>
          <w:p w14:paraId="352F9FF4"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79,2</w:t>
            </w:r>
          </w:p>
        </w:tc>
        <w:tc>
          <w:tcPr>
            <w:tcW w:w="850" w:type="dxa"/>
            <w:shd w:val="clear" w:color="auto" w:fill="D5DCE4" w:themeFill="text2" w:themeFillTint="33"/>
            <w:noWrap/>
            <w:vAlign w:val="center"/>
            <w:hideMark/>
          </w:tcPr>
          <w:p w14:paraId="7F182708"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3,0</w:t>
            </w:r>
          </w:p>
        </w:tc>
        <w:tc>
          <w:tcPr>
            <w:tcW w:w="851" w:type="dxa"/>
            <w:shd w:val="clear" w:color="auto" w:fill="D5DCE4" w:themeFill="text2" w:themeFillTint="33"/>
            <w:noWrap/>
            <w:vAlign w:val="center"/>
            <w:hideMark/>
          </w:tcPr>
          <w:p w14:paraId="5C9E647A"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12,7</w:t>
            </w:r>
          </w:p>
        </w:tc>
        <w:tc>
          <w:tcPr>
            <w:tcW w:w="993" w:type="dxa"/>
            <w:shd w:val="clear" w:color="auto" w:fill="D5DCE4" w:themeFill="text2" w:themeFillTint="33"/>
            <w:noWrap/>
            <w:vAlign w:val="center"/>
            <w:hideMark/>
          </w:tcPr>
          <w:p w14:paraId="43817EDA"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27,2</w:t>
            </w:r>
          </w:p>
        </w:tc>
        <w:tc>
          <w:tcPr>
            <w:tcW w:w="850" w:type="dxa"/>
            <w:shd w:val="clear" w:color="auto" w:fill="D5DCE4" w:themeFill="text2" w:themeFillTint="33"/>
            <w:noWrap/>
            <w:vAlign w:val="center"/>
            <w:hideMark/>
          </w:tcPr>
          <w:p w14:paraId="59EC4590"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6,8</w:t>
            </w:r>
          </w:p>
        </w:tc>
        <w:tc>
          <w:tcPr>
            <w:tcW w:w="851" w:type="dxa"/>
            <w:shd w:val="clear" w:color="auto" w:fill="D5DCE4" w:themeFill="text2" w:themeFillTint="33"/>
            <w:noWrap/>
            <w:vAlign w:val="center"/>
            <w:hideMark/>
          </w:tcPr>
          <w:p w14:paraId="58359362"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2,3</w:t>
            </w:r>
          </w:p>
        </w:tc>
        <w:tc>
          <w:tcPr>
            <w:tcW w:w="850" w:type="dxa"/>
            <w:shd w:val="clear" w:color="auto" w:fill="D5DCE4" w:themeFill="text2" w:themeFillTint="33"/>
            <w:noWrap/>
            <w:vAlign w:val="center"/>
            <w:hideMark/>
          </w:tcPr>
          <w:p w14:paraId="1A63E9ED"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1,7</w:t>
            </w:r>
          </w:p>
        </w:tc>
        <w:tc>
          <w:tcPr>
            <w:tcW w:w="992" w:type="dxa"/>
            <w:shd w:val="clear" w:color="auto" w:fill="D5DCE4" w:themeFill="text2" w:themeFillTint="33"/>
            <w:noWrap/>
            <w:vAlign w:val="center"/>
            <w:hideMark/>
          </w:tcPr>
          <w:p w14:paraId="0611DBFA"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8,0</w:t>
            </w:r>
          </w:p>
        </w:tc>
        <w:tc>
          <w:tcPr>
            <w:tcW w:w="993" w:type="dxa"/>
            <w:shd w:val="clear" w:color="auto" w:fill="D5DCE4" w:themeFill="text2" w:themeFillTint="33"/>
            <w:noWrap/>
            <w:vAlign w:val="center"/>
            <w:hideMark/>
          </w:tcPr>
          <w:p w14:paraId="7630C61B"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2,3</w:t>
            </w:r>
          </w:p>
        </w:tc>
        <w:tc>
          <w:tcPr>
            <w:tcW w:w="702" w:type="dxa"/>
            <w:shd w:val="clear" w:color="auto" w:fill="D5DCE4" w:themeFill="text2" w:themeFillTint="33"/>
            <w:noWrap/>
            <w:vAlign w:val="center"/>
            <w:hideMark/>
          </w:tcPr>
          <w:p w14:paraId="482CF42B" w14:textId="77777777" w:rsidR="00A37B5E" w:rsidRPr="00A37B5E" w:rsidRDefault="00A37B5E" w:rsidP="00A37B5E">
            <w:pPr>
              <w:jc w:val="center"/>
              <w:rPr>
                <w:rFonts w:eastAsia="Aptos" w:cstheme="minorHAnsi"/>
                <w:kern w:val="2"/>
                <w:sz w:val="18"/>
                <w:szCs w:val="18"/>
                <w14:ligatures w14:val="standardContextual"/>
              </w:rPr>
            </w:pPr>
            <w:r w:rsidRPr="00A37B5E">
              <w:rPr>
                <w:rFonts w:eastAsia="Aptos" w:cstheme="minorHAnsi"/>
                <w:kern w:val="2"/>
                <w:sz w:val="18"/>
                <w:szCs w:val="18"/>
                <w14:ligatures w14:val="standardContextual"/>
              </w:rPr>
              <w:t>3,1</w:t>
            </w:r>
          </w:p>
        </w:tc>
      </w:tr>
      <w:tr w:rsidR="00076B4E" w:rsidRPr="00A37B5E" w14:paraId="682246F3" w14:textId="77777777" w:rsidTr="00674EB2">
        <w:trPr>
          <w:trHeight w:val="63"/>
        </w:trPr>
        <w:tc>
          <w:tcPr>
            <w:tcW w:w="846" w:type="dxa"/>
            <w:noWrap/>
            <w:hideMark/>
          </w:tcPr>
          <w:p w14:paraId="3384ACA1" w14:textId="77777777" w:rsidR="00A37B5E" w:rsidRPr="00A37B5E" w:rsidRDefault="00A37B5E" w:rsidP="00A37B5E">
            <w:pPr>
              <w:jc w:val="both"/>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Italia</w:t>
            </w:r>
          </w:p>
        </w:tc>
        <w:tc>
          <w:tcPr>
            <w:tcW w:w="850" w:type="dxa"/>
            <w:noWrap/>
            <w:vAlign w:val="center"/>
            <w:hideMark/>
          </w:tcPr>
          <w:p w14:paraId="03DF6FBD"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80,3</w:t>
            </w:r>
          </w:p>
        </w:tc>
        <w:tc>
          <w:tcPr>
            <w:tcW w:w="850" w:type="dxa"/>
            <w:noWrap/>
            <w:vAlign w:val="center"/>
            <w:hideMark/>
          </w:tcPr>
          <w:p w14:paraId="2DCE5192"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2,7</w:t>
            </w:r>
          </w:p>
        </w:tc>
        <w:tc>
          <w:tcPr>
            <w:tcW w:w="851" w:type="dxa"/>
            <w:noWrap/>
            <w:vAlign w:val="center"/>
            <w:hideMark/>
          </w:tcPr>
          <w:p w14:paraId="5F1C1272"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11,5</w:t>
            </w:r>
          </w:p>
        </w:tc>
        <w:tc>
          <w:tcPr>
            <w:tcW w:w="993" w:type="dxa"/>
            <w:noWrap/>
            <w:vAlign w:val="center"/>
            <w:hideMark/>
          </w:tcPr>
          <w:p w14:paraId="52FC9966"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28,1</w:t>
            </w:r>
          </w:p>
        </w:tc>
        <w:tc>
          <w:tcPr>
            <w:tcW w:w="850" w:type="dxa"/>
            <w:noWrap/>
            <w:vAlign w:val="center"/>
            <w:hideMark/>
          </w:tcPr>
          <w:p w14:paraId="3F95ACCE"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5,5</w:t>
            </w:r>
          </w:p>
        </w:tc>
        <w:tc>
          <w:tcPr>
            <w:tcW w:w="851" w:type="dxa"/>
            <w:noWrap/>
            <w:vAlign w:val="center"/>
            <w:hideMark/>
          </w:tcPr>
          <w:p w14:paraId="6C133100"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2,5</w:t>
            </w:r>
          </w:p>
        </w:tc>
        <w:tc>
          <w:tcPr>
            <w:tcW w:w="850" w:type="dxa"/>
            <w:noWrap/>
            <w:vAlign w:val="center"/>
            <w:hideMark/>
          </w:tcPr>
          <w:p w14:paraId="374BC8DB"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2,0</w:t>
            </w:r>
          </w:p>
        </w:tc>
        <w:tc>
          <w:tcPr>
            <w:tcW w:w="992" w:type="dxa"/>
            <w:noWrap/>
            <w:vAlign w:val="center"/>
            <w:hideMark/>
          </w:tcPr>
          <w:p w14:paraId="71655D23"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9,1</w:t>
            </w:r>
          </w:p>
        </w:tc>
        <w:tc>
          <w:tcPr>
            <w:tcW w:w="993" w:type="dxa"/>
            <w:noWrap/>
            <w:vAlign w:val="center"/>
            <w:hideMark/>
          </w:tcPr>
          <w:p w14:paraId="58B2F0EA"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3,5</w:t>
            </w:r>
          </w:p>
        </w:tc>
        <w:tc>
          <w:tcPr>
            <w:tcW w:w="702" w:type="dxa"/>
            <w:noWrap/>
            <w:vAlign w:val="center"/>
            <w:hideMark/>
          </w:tcPr>
          <w:p w14:paraId="63D11BBE" w14:textId="77777777" w:rsidR="00A37B5E" w:rsidRPr="00A37B5E" w:rsidRDefault="00A37B5E" w:rsidP="00A37B5E">
            <w:pPr>
              <w:jc w:val="center"/>
              <w:rPr>
                <w:rFonts w:eastAsia="Aptos" w:cstheme="minorHAnsi"/>
                <w:b/>
                <w:bCs/>
                <w:kern w:val="2"/>
                <w:sz w:val="18"/>
                <w:szCs w:val="18"/>
                <w14:ligatures w14:val="standardContextual"/>
              </w:rPr>
            </w:pPr>
            <w:r w:rsidRPr="00A37B5E">
              <w:rPr>
                <w:rFonts w:eastAsia="Aptos" w:cstheme="minorHAnsi"/>
                <w:b/>
                <w:bCs/>
                <w:kern w:val="2"/>
                <w:sz w:val="18"/>
                <w:szCs w:val="18"/>
                <w14:ligatures w14:val="standardContextual"/>
              </w:rPr>
              <w:t>2,5</w:t>
            </w:r>
          </w:p>
        </w:tc>
      </w:tr>
    </w:tbl>
    <w:p w14:paraId="165ECF1C" w14:textId="77777777" w:rsidR="0036597B" w:rsidRDefault="0036597B" w:rsidP="00DD4C11">
      <w:pPr>
        <w:spacing w:after="0" w:line="240" w:lineRule="auto"/>
        <w:jc w:val="both"/>
        <w:rPr>
          <w:rFonts w:eastAsia="Aptos" w:cstheme="minorHAnsi"/>
          <w:i/>
          <w:iCs/>
          <w:kern w:val="2"/>
          <w:sz w:val="18"/>
          <w:szCs w:val="18"/>
          <w14:ligatures w14:val="standardContextual"/>
        </w:rPr>
      </w:pPr>
      <w:r w:rsidRPr="00BB6E79">
        <w:rPr>
          <w:rFonts w:eastAsia="Aptos" w:cstheme="minorHAnsi"/>
          <w:i/>
          <w:iCs/>
          <w:kern w:val="2"/>
          <w:sz w:val="18"/>
          <w:szCs w:val="18"/>
          <w14:ligatures w14:val="standardContextual"/>
        </w:rPr>
        <w:t>Fonte: ISTAT, Censimento permanente</w:t>
      </w:r>
      <w:r>
        <w:rPr>
          <w:rFonts w:eastAsia="Aptos" w:cstheme="minorHAnsi"/>
          <w:i/>
          <w:iCs/>
          <w:kern w:val="2"/>
          <w:sz w:val="18"/>
          <w:szCs w:val="18"/>
          <w14:ligatures w14:val="standardContextual"/>
        </w:rPr>
        <w:t xml:space="preserve"> </w:t>
      </w:r>
      <w:r w:rsidRPr="00BB6E79">
        <w:rPr>
          <w:rFonts w:eastAsia="Aptos" w:cstheme="minorHAnsi"/>
          <w:i/>
          <w:iCs/>
          <w:kern w:val="2"/>
          <w:sz w:val="18"/>
          <w:szCs w:val="18"/>
          <w14:ligatures w14:val="standardContextual"/>
        </w:rPr>
        <w:t>delle imprese 2023: primi risultati</w:t>
      </w:r>
      <w:r>
        <w:rPr>
          <w:rFonts w:eastAsia="Aptos" w:cstheme="minorHAnsi"/>
          <w:i/>
          <w:iCs/>
          <w:kern w:val="2"/>
          <w:sz w:val="18"/>
          <w:szCs w:val="18"/>
          <w14:ligatures w14:val="standardContextual"/>
        </w:rPr>
        <w:t>, Novembre 2023</w:t>
      </w:r>
    </w:p>
    <w:p w14:paraId="25597B7A" w14:textId="77777777" w:rsidR="00DD4C11" w:rsidRPr="00AD3349" w:rsidRDefault="00DD4C11" w:rsidP="00DD4C11">
      <w:pPr>
        <w:spacing w:after="120" w:line="240" w:lineRule="auto"/>
        <w:jc w:val="both"/>
        <w:rPr>
          <w:rFonts w:eastAsia="Aptos" w:cstheme="minorHAnsi"/>
          <w:kern w:val="2"/>
          <w:sz w:val="16"/>
          <w:szCs w:val="16"/>
          <w14:ligatures w14:val="standardContextual"/>
        </w:rPr>
      </w:pPr>
      <w:r>
        <w:rPr>
          <w:rFonts w:eastAsia="Aptos" w:cstheme="minorHAnsi"/>
          <w:kern w:val="2"/>
          <w:sz w:val="16"/>
          <w:szCs w:val="16"/>
          <w14:ligatures w14:val="standardContextual"/>
        </w:rPr>
        <w:t>Nota: per “Totale” si intendono tutte per imprese per settore/attività produttiva</w:t>
      </w:r>
    </w:p>
    <w:p w14:paraId="7D54DAE8" w14:textId="77777777" w:rsidR="0036597B" w:rsidRDefault="00E73432" w:rsidP="00684768">
      <w:pPr>
        <w:spacing w:after="120" w:line="276" w:lineRule="auto"/>
        <w:jc w:val="both"/>
        <w:rPr>
          <w:rFonts w:eastAsia="Aptos" w:cstheme="minorHAnsi"/>
          <w:kern w:val="2"/>
          <w14:ligatures w14:val="standardContextual"/>
        </w:rPr>
      </w:pPr>
      <w:r>
        <w:rPr>
          <w:rFonts w:eastAsia="Aptos" w:cstheme="minorHAnsi"/>
          <w:kern w:val="2"/>
          <w14:ligatures w14:val="standardContextual"/>
        </w:rPr>
        <w:t xml:space="preserve">L’analisi dei motivi per cui le imprese </w:t>
      </w:r>
      <w:r w:rsidR="007628AA">
        <w:rPr>
          <w:rFonts w:eastAsia="Aptos" w:cstheme="minorHAnsi"/>
          <w:kern w:val="2"/>
          <w14:ligatures w14:val="standardContextual"/>
        </w:rPr>
        <w:t xml:space="preserve">(con almeno 3 addetti) </w:t>
      </w:r>
      <w:r>
        <w:rPr>
          <w:rFonts w:eastAsia="Aptos" w:cstheme="minorHAnsi"/>
          <w:kern w:val="2"/>
          <w14:ligatures w14:val="standardContextual"/>
        </w:rPr>
        <w:t>hanno fatto ricorso al finanziamento esterno (</w:t>
      </w:r>
      <w:proofErr w:type="spellStart"/>
      <w:r w:rsidR="00A37B5E">
        <w:rPr>
          <w:rFonts w:eastAsia="Aptos" w:cstheme="minorHAnsi"/>
          <w:kern w:val="2"/>
          <w14:ligatures w14:val="standardContextual"/>
        </w:rPr>
        <w:t>Tab</w:t>
      </w:r>
      <w:proofErr w:type="spellEnd"/>
      <w:r>
        <w:rPr>
          <w:rFonts w:eastAsia="Aptos" w:cstheme="minorHAnsi"/>
          <w:kern w:val="2"/>
          <w14:ligatures w14:val="standardContextual"/>
        </w:rPr>
        <w:t xml:space="preserve">. </w:t>
      </w:r>
      <w:r w:rsidR="00A37B5E">
        <w:rPr>
          <w:rFonts w:eastAsia="Aptos" w:cstheme="minorHAnsi"/>
          <w:kern w:val="2"/>
          <w14:ligatures w14:val="standardContextual"/>
        </w:rPr>
        <w:t>5</w:t>
      </w:r>
      <w:r>
        <w:rPr>
          <w:rFonts w:eastAsia="Aptos" w:cstheme="minorHAnsi"/>
          <w:kern w:val="2"/>
          <w14:ligatures w14:val="standardContextual"/>
        </w:rPr>
        <w:t>) ha evidenziato come motivazione principale le esigenze di liquidità</w:t>
      </w:r>
      <w:r w:rsidRPr="00E73432">
        <w:rPr>
          <w:rFonts w:eastAsia="Aptos" w:cstheme="minorHAnsi"/>
          <w:kern w:val="2"/>
          <w14:ligatures w14:val="standardContextual"/>
        </w:rPr>
        <w:t xml:space="preserve"> o di reperimento di capitale liquido</w:t>
      </w:r>
      <w:r>
        <w:rPr>
          <w:rFonts w:eastAsia="Aptos" w:cstheme="minorHAnsi"/>
          <w:kern w:val="2"/>
          <w14:ligatures w14:val="standardContextual"/>
        </w:rPr>
        <w:t xml:space="preserve"> </w:t>
      </w:r>
      <w:r w:rsidR="007628AA">
        <w:rPr>
          <w:rFonts w:eastAsia="Aptos" w:cstheme="minorHAnsi"/>
          <w:kern w:val="2"/>
          <w14:ligatures w14:val="standardContextual"/>
        </w:rPr>
        <w:t>per il</w:t>
      </w:r>
      <w:r w:rsidRPr="00E73432">
        <w:rPr>
          <w:rFonts w:eastAsia="Aptos" w:cstheme="minorHAnsi"/>
          <w:kern w:val="2"/>
          <w14:ligatures w14:val="standardContextual"/>
        </w:rPr>
        <w:t xml:space="preserve"> 43,1% delle</w:t>
      </w:r>
      <w:r w:rsidR="007628AA">
        <w:rPr>
          <w:rFonts w:eastAsia="Aptos" w:cstheme="minorHAnsi"/>
          <w:kern w:val="2"/>
          <w14:ligatures w14:val="standardContextual"/>
        </w:rPr>
        <w:t xml:space="preserve"> realtà imprenditoriali a livello nazionale mentre nell’area “Centro” il 44,4%,</w:t>
      </w:r>
      <w:r w:rsidRPr="00E73432">
        <w:rPr>
          <w:rFonts w:eastAsia="Aptos" w:cstheme="minorHAnsi"/>
          <w:kern w:val="2"/>
          <w14:ligatures w14:val="standardContextual"/>
        </w:rPr>
        <w:t xml:space="preserve"> seguit</w:t>
      </w:r>
      <w:r w:rsidR="007628AA">
        <w:rPr>
          <w:rFonts w:eastAsia="Aptos" w:cstheme="minorHAnsi"/>
          <w:kern w:val="2"/>
          <w14:ligatures w14:val="standardContextual"/>
        </w:rPr>
        <w:t>a</w:t>
      </w:r>
      <w:r w:rsidRPr="00E73432">
        <w:rPr>
          <w:rFonts w:eastAsia="Aptos" w:cstheme="minorHAnsi"/>
          <w:kern w:val="2"/>
          <w14:ligatures w14:val="standardContextual"/>
        </w:rPr>
        <w:t xml:space="preserve"> dal finanziamento dell’attività ordinaria, come</w:t>
      </w:r>
      <w:r w:rsidR="007628AA">
        <w:rPr>
          <w:rFonts w:eastAsia="Aptos" w:cstheme="minorHAnsi"/>
          <w:kern w:val="2"/>
          <w14:ligatures w14:val="standardContextual"/>
        </w:rPr>
        <w:t xml:space="preserve"> ad esempio</w:t>
      </w:r>
      <w:r w:rsidRPr="00E73432">
        <w:rPr>
          <w:rFonts w:eastAsia="Aptos" w:cstheme="minorHAnsi"/>
          <w:kern w:val="2"/>
          <w14:ligatures w14:val="standardContextual"/>
        </w:rPr>
        <w:t xml:space="preserve"> la copertura delle spese per il personale, spese correnti e altre (37,5%</w:t>
      </w:r>
      <w:r w:rsidR="007628AA">
        <w:rPr>
          <w:rFonts w:eastAsia="Aptos" w:cstheme="minorHAnsi"/>
          <w:kern w:val="2"/>
          <w14:ligatures w14:val="standardContextual"/>
        </w:rPr>
        <w:t xml:space="preserve"> a livello nazionale e il 40,3% per il “Centro”).</w:t>
      </w:r>
    </w:p>
    <w:p w14:paraId="79DB1E5A" w14:textId="3B5EF8CF" w:rsidR="00E73432" w:rsidRDefault="007628AA" w:rsidP="00684768">
      <w:pPr>
        <w:spacing w:after="120" w:line="276" w:lineRule="auto"/>
        <w:jc w:val="both"/>
        <w:rPr>
          <w:rFonts w:eastAsia="Aptos" w:cstheme="minorHAnsi"/>
          <w:kern w:val="2"/>
          <w14:ligatures w14:val="standardContextual"/>
        </w:rPr>
      </w:pPr>
      <w:r>
        <w:rPr>
          <w:rFonts w:eastAsia="Aptos" w:cstheme="minorHAnsi"/>
          <w:kern w:val="2"/>
          <w14:ligatures w14:val="standardContextual"/>
        </w:rPr>
        <w:t xml:space="preserve">Si evidenzia che </w:t>
      </w:r>
      <w:r w:rsidR="00E73432" w:rsidRPr="00E73432">
        <w:rPr>
          <w:rFonts w:eastAsia="Aptos" w:cstheme="minorHAnsi"/>
          <w:kern w:val="2"/>
          <w14:ligatures w14:val="standardContextual"/>
        </w:rPr>
        <w:t>le imprese di dimensione minore ricorrono al finanziamento esterno per attività dal carattere operativo e corrente</w:t>
      </w:r>
      <w:r>
        <w:rPr>
          <w:rFonts w:eastAsia="Aptos" w:cstheme="minorHAnsi"/>
          <w:kern w:val="2"/>
          <w14:ligatures w14:val="standardContextual"/>
        </w:rPr>
        <w:t xml:space="preserve"> mentre</w:t>
      </w:r>
      <w:r w:rsidR="00E73432" w:rsidRPr="00E73432">
        <w:rPr>
          <w:rFonts w:eastAsia="Aptos" w:cstheme="minorHAnsi"/>
          <w:kern w:val="2"/>
          <w14:ligatures w14:val="standardContextual"/>
        </w:rPr>
        <w:t xml:space="preserve"> le imprese di dimensioni maggiori vi fanno ricorso per investimenti</w:t>
      </w:r>
      <w:r>
        <w:rPr>
          <w:rFonts w:eastAsia="Aptos" w:cstheme="minorHAnsi"/>
          <w:kern w:val="2"/>
          <w14:ligatures w14:val="standardContextual"/>
        </w:rPr>
        <w:t>, ad esempio, finalizzati al</w:t>
      </w:r>
      <w:r w:rsidR="00E73432" w:rsidRPr="00E73432">
        <w:rPr>
          <w:rFonts w:eastAsia="Aptos" w:cstheme="minorHAnsi"/>
          <w:kern w:val="2"/>
          <w14:ligatures w14:val="standardContextual"/>
        </w:rPr>
        <w:t>l’ampliamento della propria capacità produttiva</w:t>
      </w:r>
      <w:r>
        <w:rPr>
          <w:rFonts w:eastAsia="Aptos" w:cstheme="minorHAnsi"/>
          <w:kern w:val="2"/>
          <w14:ligatures w14:val="standardContextual"/>
        </w:rPr>
        <w:t xml:space="preserve"> </w:t>
      </w:r>
      <w:r w:rsidR="00E73432" w:rsidRPr="00E73432">
        <w:rPr>
          <w:rFonts w:eastAsia="Aptos" w:cstheme="minorHAnsi"/>
          <w:kern w:val="2"/>
          <w14:ligatures w14:val="standardContextual"/>
        </w:rPr>
        <w:t>(29,8%</w:t>
      </w:r>
      <w:r>
        <w:rPr>
          <w:rFonts w:eastAsia="Aptos" w:cstheme="minorHAnsi"/>
          <w:kern w:val="2"/>
          <w14:ligatures w14:val="standardContextual"/>
        </w:rPr>
        <w:t xml:space="preserve"> su base nazionale, 27% “Centro”</w:t>
      </w:r>
      <w:r w:rsidR="00E73432" w:rsidRPr="00E73432">
        <w:rPr>
          <w:rFonts w:eastAsia="Aptos" w:cstheme="minorHAnsi"/>
          <w:kern w:val="2"/>
          <w14:ligatures w14:val="standardContextual"/>
        </w:rPr>
        <w:t>).</w:t>
      </w:r>
      <w:r w:rsidR="003B4BF2">
        <w:rPr>
          <w:rFonts w:eastAsia="Aptos" w:cstheme="minorHAnsi"/>
          <w:kern w:val="2"/>
          <w14:ligatures w14:val="standardContextual"/>
        </w:rPr>
        <w:t xml:space="preserve"> </w:t>
      </w:r>
      <w:r w:rsidR="00E73432" w:rsidRPr="00E73432">
        <w:rPr>
          <w:rFonts w:eastAsia="Aptos" w:cstheme="minorHAnsi"/>
          <w:kern w:val="2"/>
          <w14:ligatures w14:val="standardContextual"/>
        </w:rPr>
        <w:t>Tra le motivazioni meno diffuse</w:t>
      </w:r>
      <w:r>
        <w:rPr>
          <w:rFonts w:eastAsia="Aptos" w:cstheme="minorHAnsi"/>
          <w:kern w:val="2"/>
          <w14:ligatures w14:val="standardContextual"/>
        </w:rPr>
        <w:t xml:space="preserve"> sono state registrate quelle relative ad investimenti </w:t>
      </w:r>
      <w:r w:rsidR="00E73432" w:rsidRPr="00E73432">
        <w:rPr>
          <w:rFonts w:eastAsia="Aptos" w:cstheme="minorHAnsi"/>
          <w:kern w:val="2"/>
          <w14:ligatures w14:val="standardContextual"/>
        </w:rPr>
        <w:t xml:space="preserve">in nuove tecnologie di tipo digitale </w:t>
      </w:r>
      <w:r w:rsidR="0018326A">
        <w:rPr>
          <w:rFonts w:eastAsia="Aptos" w:cstheme="minorHAnsi"/>
          <w:kern w:val="2"/>
          <w14:ligatures w14:val="standardContextual"/>
        </w:rPr>
        <w:t>(8,9% a livello nazionale e 7,6% per il “Centro”) e gli investimenti per rafforzare processi di internazionalizzazione (1,3%).</w:t>
      </w:r>
    </w:p>
    <w:p w14:paraId="712030C8" w14:textId="1659F625" w:rsidR="001B4ECB" w:rsidRPr="00A502C1" w:rsidRDefault="00A502C1" w:rsidP="001B4ECB">
      <w:pPr>
        <w:spacing w:after="0" w:line="240" w:lineRule="auto"/>
        <w:jc w:val="both"/>
        <w:rPr>
          <w:rFonts w:eastAsia="Aptos" w:cstheme="minorHAnsi"/>
          <w:i/>
          <w:iCs/>
          <w:kern w:val="2"/>
          <w:sz w:val="20"/>
          <w:szCs w:val="20"/>
          <w14:ligatures w14:val="standardContextual"/>
        </w:rPr>
      </w:pPr>
      <w:proofErr w:type="spellStart"/>
      <w:r w:rsidRPr="00A502C1">
        <w:rPr>
          <w:rFonts w:eastAsia="Aptos" w:cstheme="minorHAnsi"/>
          <w:i/>
          <w:iCs/>
          <w:kern w:val="2"/>
          <w:sz w:val="20"/>
          <w:szCs w:val="20"/>
          <w14:ligatures w14:val="standardContextual"/>
        </w:rPr>
        <w:lastRenderedPageBreak/>
        <w:t>Tab</w:t>
      </w:r>
      <w:proofErr w:type="spellEnd"/>
      <w:r w:rsidRPr="00A502C1">
        <w:rPr>
          <w:rFonts w:eastAsia="Aptos" w:cstheme="minorHAnsi"/>
          <w:i/>
          <w:iCs/>
          <w:kern w:val="2"/>
          <w:sz w:val="20"/>
          <w:szCs w:val="20"/>
          <w14:ligatures w14:val="standardContextual"/>
        </w:rPr>
        <w:t xml:space="preserve">. </w:t>
      </w:r>
      <w:r w:rsidR="00A37B5E">
        <w:rPr>
          <w:rFonts w:eastAsia="Aptos" w:cstheme="minorHAnsi"/>
          <w:i/>
          <w:iCs/>
          <w:kern w:val="2"/>
          <w:sz w:val="20"/>
          <w:szCs w:val="20"/>
          <w14:ligatures w14:val="standardContextual"/>
        </w:rPr>
        <w:t>5</w:t>
      </w:r>
      <w:r w:rsidRPr="00A502C1">
        <w:rPr>
          <w:rFonts w:eastAsia="Aptos" w:cstheme="minorHAnsi"/>
          <w:i/>
          <w:iCs/>
          <w:kern w:val="2"/>
          <w:sz w:val="20"/>
          <w:szCs w:val="20"/>
          <w14:ligatures w14:val="standardContextual"/>
        </w:rPr>
        <w:t xml:space="preserve"> </w:t>
      </w:r>
      <w:r w:rsidR="001B4ECB" w:rsidRPr="00A502C1">
        <w:rPr>
          <w:rFonts w:eastAsia="Aptos" w:cstheme="minorHAnsi"/>
          <w:i/>
          <w:iCs/>
          <w:kern w:val="2"/>
          <w:sz w:val="20"/>
          <w:szCs w:val="20"/>
          <w14:ligatures w14:val="standardContextual"/>
        </w:rPr>
        <w:t>Motivi per cui le imprese hanno fatto ricorso al finanziamento esterno per settore di attività economica, classe di addetti e ripartizione territoriale. Valori assoluti e percentuali</w:t>
      </w:r>
      <w:r w:rsidR="0077327B">
        <w:rPr>
          <w:rFonts w:eastAsia="Aptos" w:cstheme="minorHAnsi"/>
          <w:i/>
          <w:iCs/>
          <w:kern w:val="2"/>
          <w:sz w:val="20"/>
          <w:szCs w:val="20"/>
          <w14:ligatures w14:val="standardContextual"/>
        </w:rPr>
        <w:t xml:space="preserve"> (</w:t>
      </w:r>
      <w:r w:rsidR="001B4ECB" w:rsidRPr="00A502C1">
        <w:rPr>
          <w:rFonts w:eastAsia="Aptos" w:cstheme="minorHAnsi"/>
          <w:i/>
          <w:iCs/>
          <w:kern w:val="2"/>
          <w:sz w:val="20"/>
          <w:szCs w:val="20"/>
          <w14:ligatures w14:val="standardContextual"/>
        </w:rPr>
        <w:t>2022</w:t>
      </w:r>
      <w:r w:rsidR="0077327B">
        <w:rPr>
          <w:rFonts w:eastAsia="Aptos" w:cstheme="minorHAnsi"/>
          <w:i/>
          <w:iCs/>
          <w:kern w:val="2"/>
          <w:sz w:val="20"/>
          <w:szCs w:val="20"/>
          <w14:ligatures w14:val="standardContextual"/>
        </w:rPr>
        <w:t>)</w:t>
      </w:r>
    </w:p>
    <w:tbl>
      <w:tblPr>
        <w:tblW w:w="9639" w:type="dxa"/>
        <w:tblLayout w:type="fixed"/>
        <w:tblCellMar>
          <w:left w:w="70" w:type="dxa"/>
          <w:right w:w="70" w:type="dxa"/>
        </w:tblCellMar>
        <w:tblLook w:val="04A0" w:firstRow="1" w:lastRow="0" w:firstColumn="1" w:lastColumn="0" w:noHBand="0" w:noVBand="1"/>
      </w:tblPr>
      <w:tblGrid>
        <w:gridCol w:w="846"/>
        <w:gridCol w:w="1276"/>
        <w:gridCol w:w="1134"/>
        <w:gridCol w:w="992"/>
        <w:gridCol w:w="992"/>
        <w:gridCol w:w="1134"/>
        <w:gridCol w:w="851"/>
        <w:gridCol w:w="850"/>
        <w:gridCol w:w="855"/>
        <w:gridCol w:w="709"/>
      </w:tblGrid>
      <w:tr w:rsidR="00A502C1" w:rsidRPr="0077327B" w14:paraId="3E44D21B" w14:textId="77777777" w:rsidTr="00B52243">
        <w:trPr>
          <w:trHeight w:val="1005"/>
        </w:trPr>
        <w:tc>
          <w:tcPr>
            <w:tcW w:w="846"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357AC59" w14:textId="77777777" w:rsidR="0077327B" w:rsidRPr="0077327B" w:rsidRDefault="0077327B" w:rsidP="001B4ECB">
            <w:pPr>
              <w:spacing w:after="0" w:line="240" w:lineRule="auto"/>
              <w:rPr>
                <w:rFonts w:eastAsia="Times New Roman" w:cstheme="minorHAnsi"/>
                <w:b/>
                <w:bCs/>
                <w:color w:val="FFFFFF" w:themeColor="background1"/>
                <w:sz w:val="18"/>
                <w:szCs w:val="18"/>
                <w:lang w:eastAsia="it-IT"/>
              </w:rPr>
            </w:pPr>
            <w:proofErr w:type="spellStart"/>
            <w:r w:rsidRPr="0077327B">
              <w:rPr>
                <w:rFonts w:eastAsia="Times New Roman" w:cstheme="minorHAnsi"/>
                <w:b/>
                <w:bCs/>
                <w:color w:val="FFFFFF" w:themeColor="background1"/>
                <w:sz w:val="18"/>
                <w:szCs w:val="18"/>
                <w:lang w:eastAsia="it-IT"/>
              </w:rPr>
              <w:t>Dim</w:t>
            </w:r>
            <w:proofErr w:type="spellEnd"/>
            <w:r w:rsidRPr="0077327B">
              <w:rPr>
                <w:rFonts w:eastAsia="Times New Roman" w:cstheme="minorHAnsi"/>
                <w:b/>
                <w:bCs/>
                <w:color w:val="FFFFFF" w:themeColor="background1"/>
                <w:sz w:val="18"/>
                <w:szCs w:val="18"/>
                <w:lang w:eastAsia="it-IT"/>
              </w:rPr>
              <w:t>.</w:t>
            </w:r>
          </w:p>
          <w:p w14:paraId="1CCEBCAF" w14:textId="357BC4E6" w:rsidR="001B4ECB" w:rsidRPr="0077327B" w:rsidRDefault="001B4ECB" w:rsidP="001B4ECB">
            <w:pPr>
              <w:spacing w:after="0" w:line="240" w:lineRule="auto"/>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Area</w:t>
            </w:r>
          </w:p>
        </w:tc>
        <w:tc>
          <w:tcPr>
            <w:tcW w:w="1276"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22955BF" w14:textId="1B12B515" w:rsidR="001B4ECB" w:rsidRPr="0077327B" w:rsidRDefault="001B4ECB" w:rsidP="001B4ECB">
            <w:pPr>
              <w:spacing w:after="0" w:line="240" w:lineRule="auto"/>
              <w:jc w:val="center"/>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Investimenti ampliamento capacità produttiva</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6CB67DD" w14:textId="20BDD428" w:rsidR="001B4ECB" w:rsidRPr="0077327B" w:rsidRDefault="001B4ECB" w:rsidP="001B4ECB">
            <w:pPr>
              <w:spacing w:after="0" w:line="240" w:lineRule="auto"/>
              <w:jc w:val="center"/>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Investimenti implementare misure responsabilità sociale e ambientale</w:t>
            </w:r>
          </w:p>
        </w:tc>
        <w:tc>
          <w:tcPr>
            <w:tcW w:w="992"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045C5D35" w14:textId="55DD1A0B" w:rsidR="001B4ECB" w:rsidRPr="0077327B" w:rsidRDefault="001B4ECB" w:rsidP="001B4ECB">
            <w:pPr>
              <w:spacing w:after="0" w:line="240" w:lineRule="auto"/>
              <w:jc w:val="center"/>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Investimenti nuove tecnologie tipo digitale</w:t>
            </w:r>
          </w:p>
        </w:tc>
        <w:tc>
          <w:tcPr>
            <w:tcW w:w="992"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6707E83" w14:textId="0226FD52" w:rsidR="001B4ECB" w:rsidRPr="0077327B" w:rsidRDefault="001B4ECB" w:rsidP="001B4ECB">
            <w:pPr>
              <w:spacing w:after="0" w:line="240" w:lineRule="auto"/>
              <w:jc w:val="center"/>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Investimenti nuove tecnologie tipo non digitale</w:t>
            </w:r>
            <w:r w:rsidR="00244EDE" w:rsidRPr="0077327B">
              <w:rPr>
                <w:rFonts w:eastAsia="Times New Roman" w:cstheme="minorHAnsi"/>
                <w:b/>
                <w:bCs/>
                <w:color w:val="FFFFFF" w:themeColor="background1"/>
                <w:sz w:val="18"/>
                <w:szCs w:val="18"/>
                <w:lang w:eastAsia="it-IT"/>
              </w:rPr>
              <w:t xml:space="preserve"> *</w:t>
            </w:r>
            <w:r w:rsidRPr="0077327B">
              <w:rPr>
                <w:rFonts w:eastAsia="Times New Roman" w:cstheme="minorHAnsi"/>
                <w:b/>
                <w:bCs/>
                <w:color w:val="FFFFFF" w:themeColor="background1"/>
                <w:sz w:val="18"/>
                <w:szCs w:val="18"/>
                <w:lang w:eastAsia="it-IT"/>
              </w:rPr>
              <w:t xml:space="preserve"> </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04B253A4" w14:textId="0471E692" w:rsidR="001B4ECB" w:rsidRPr="0077327B" w:rsidRDefault="00BB6E79" w:rsidP="001B4ECB">
            <w:pPr>
              <w:spacing w:after="0" w:line="240" w:lineRule="auto"/>
              <w:jc w:val="center"/>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Internazionalizzazione</w:t>
            </w:r>
          </w:p>
        </w:tc>
        <w:tc>
          <w:tcPr>
            <w:tcW w:w="851"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83F6B35" w14:textId="04F867F9" w:rsidR="001B4ECB" w:rsidRPr="0077327B" w:rsidRDefault="001B4ECB" w:rsidP="001B4ECB">
            <w:pPr>
              <w:spacing w:after="0" w:line="240" w:lineRule="auto"/>
              <w:jc w:val="center"/>
              <w:rPr>
                <w:rFonts w:eastAsia="Times New Roman" w:cstheme="minorHAnsi"/>
                <w:b/>
                <w:bCs/>
                <w:color w:val="FFFFFF" w:themeColor="background1"/>
                <w:sz w:val="18"/>
                <w:szCs w:val="18"/>
                <w:lang w:eastAsia="it-IT"/>
              </w:rPr>
            </w:pPr>
            <w:proofErr w:type="spellStart"/>
            <w:r w:rsidRPr="0077327B">
              <w:rPr>
                <w:rFonts w:eastAsia="Times New Roman" w:cstheme="minorHAnsi"/>
                <w:b/>
                <w:bCs/>
                <w:color w:val="FFFFFF" w:themeColor="background1"/>
                <w:sz w:val="18"/>
                <w:szCs w:val="18"/>
                <w:lang w:eastAsia="it-IT"/>
              </w:rPr>
              <w:t>Partecip</w:t>
            </w:r>
            <w:proofErr w:type="spellEnd"/>
            <w:r w:rsidR="00674EB2">
              <w:rPr>
                <w:rFonts w:eastAsia="Times New Roman" w:cstheme="minorHAnsi"/>
                <w:b/>
                <w:bCs/>
                <w:color w:val="FFFFFF" w:themeColor="background1"/>
                <w:sz w:val="18"/>
                <w:szCs w:val="18"/>
                <w:lang w:eastAsia="it-IT"/>
              </w:rPr>
              <w:t>.</w:t>
            </w:r>
            <w:r w:rsidRPr="0077327B">
              <w:rPr>
                <w:rFonts w:eastAsia="Times New Roman" w:cstheme="minorHAnsi"/>
                <w:b/>
                <w:bCs/>
                <w:color w:val="FFFFFF" w:themeColor="background1"/>
                <w:sz w:val="18"/>
                <w:szCs w:val="18"/>
                <w:lang w:eastAsia="it-IT"/>
              </w:rPr>
              <w:t xml:space="preserve"> (anche azionaria) altre imprese</w:t>
            </w:r>
          </w:p>
        </w:tc>
        <w:tc>
          <w:tcPr>
            <w:tcW w:w="85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400A5AC" w14:textId="0EC94EC7" w:rsidR="001B4ECB" w:rsidRPr="0077327B" w:rsidRDefault="001B4ECB" w:rsidP="001B4ECB">
            <w:pPr>
              <w:spacing w:after="0" w:line="240" w:lineRule="auto"/>
              <w:jc w:val="center"/>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Esigenze liquidità e/o capitale liquido</w:t>
            </w:r>
          </w:p>
        </w:tc>
        <w:tc>
          <w:tcPr>
            <w:tcW w:w="855"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7E09405" w14:textId="525C65B5" w:rsidR="001B4ECB" w:rsidRPr="0077327B" w:rsidRDefault="001B4ECB" w:rsidP="001B4ECB">
            <w:pPr>
              <w:spacing w:after="0" w:line="240" w:lineRule="auto"/>
              <w:jc w:val="center"/>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 xml:space="preserve">Attività ordinaria </w:t>
            </w:r>
            <w:r w:rsidR="00244EDE" w:rsidRPr="0077327B">
              <w:rPr>
                <w:rFonts w:eastAsia="Times New Roman" w:cstheme="minorHAnsi"/>
                <w:b/>
                <w:bCs/>
                <w:color w:val="FFFFFF" w:themeColor="background1"/>
                <w:sz w:val="18"/>
                <w:szCs w:val="18"/>
                <w:lang w:eastAsia="it-IT"/>
              </w:rPr>
              <w:t>**</w:t>
            </w:r>
          </w:p>
        </w:tc>
        <w:tc>
          <w:tcPr>
            <w:tcW w:w="709"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2D9B6A2B" w14:textId="77777777" w:rsidR="001B4ECB" w:rsidRPr="0077327B" w:rsidRDefault="001B4ECB" w:rsidP="001B4ECB">
            <w:pPr>
              <w:spacing w:after="0" w:line="240" w:lineRule="auto"/>
              <w:jc w:val="center"/>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Altro motivo</w:t>
            </w:r>
          </w:p>
        </w:tc>
      </w:tr>
      <w:tr w:rsidR="0077327B" w:rsidRPr="0077327B" w14:paraId="0C6BD003"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022160EB" w14:textId="48DA250E" w:rsidR="0077327B" w:rsidRPr="0077327B" w:rsidRDefault="0077327B" w:rsidP="0077327B">
            <w:pPr>
              <w:spacing w:after="0" w:line="240" w:lineRule="auto"/>
              <w:rPr>
                <w:rFonts w:eastAsia="Times New Roman" w:cstheme="minorHAnsi"/>
                <w:sz w:val="18"/>
                <w:szCs w:val="18"/>
                <w:lang w:eastAsia="it-IT"/>
              </w:rPr>
            </w:pPr>
            <w:r w:rsidRPr="0077327B">
              <w:rPr>
                <w:rFonts w:eastAsia="Times New Roman" w:cstheme="minorHAnsi"/>
                <w:sz w:val="18"/>
                <w:szCs w:val="18"/>
                <w:lang w:eastAsia="it-IT"/>
              </w:rPr>
              <w:t>3-9</w:t>
            </w:r>
          </w:p>
        </w:tc>
        <w:tc>
          <w:tcPr>
            <w:tcW w:w="1276" w:type="dxa"/>
            <w:tcBorders>
              <w:top w:val="nil"/>
              <w:left w:val="nil"/>
              <w:bottom w:val="single" w:sz="4" w:space="0" w:color="auto"/>
              <w:right w:val="single" w:sz="4" w:space="0" w:color="auto"/>
            </w:tcBorders>
            <w:shd w:val="clear" w:color="auto" w:fill="auto"/>
            <w:noWrap/>
            <w:vAlign w:val="center"/>
          </w:tcPr>
          <w:p w14:paraId="558FD590" w14:textId="427E4369"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25,1</w:t>
            </w:r>
          </w:p>
        </w:tc>
        <w:tc>
          <w:tcPr>
            <w:tcW w:w="1134" w:type="dxa"/>
            <w:tcBorders>
              <w:top w:val="nil"/>
              <w:left w:val="nil"/>
              <w:bottom w:val="single" w:sz="4" w:space="0" w:color="auto"/>
              <w:right w:val="single" w:sz="4" w:space="0" w:color="auto"/>
            </w:tcBorders>
            <w:shd w:val="clear" w:color="auto" w:fill="auto"/>
            <w:noWrap/>
            <w:vAlign w:val="center"/>
          </w:tcPr>
          <w:p w14:paraId="0A00C604" w14:textId="00ECF561"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0,9</w:t>
            </w:r>
          </w:p>
        </w:tc>
        <w:tc>
          <w:tcPr>
            <w:tcW w:w="992" w:type="dxa"/>
            <w:tcBorders>
              <w:top w:val="nil"/>
              <w:left w:val="nil"/>
              <w:bottom w:val="single" w:sz="4" w:space="0" w:color="auto"/>
              <w:right w:val="single" w:sz="4" w:space="0" w:color="auto"/>
            </w:tcBorders>
            <w:shd w:val="clear" w:color="auto" w:fill="auto"/>
            <w:noWrap/>
            <w:vAlign w:val="center"/>
          </w:tcPr>
          <w:p w14:paraId="5AB9439F" w14:textId="1D8E42BD"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7,1</w:t>
            </w:r>
          </w:p>
        </w:tc>
        <w:tc>
          <w:tcPr>
            <w:tcW w:w="992" w:type="dxa"/>
            <w:tcBorders>
              <w:top w:val="nil"/>
              <w:left w:val="nil"/>
              <w:bottom w:val="single" w:sz="4" w:space="0" w:color="auto"/>
              <w:right w:val="single" w:sz="4" w:space="0" w:color="auto"/>
            </w:tcBorders>
            <w:shd w:val="clear" w:color="auto" w:fill="auto"/>
            <w:noWrap/>
            <w:vAlign w:val="center"/>
          </w:tcPr>
          <w:p w14:paraId="1063FF22" w14:textId="75A2FE7C"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1,8</w:t>
            </w:r>
          </w:p>
        </w:tc>
        <w:tc>
          <w:tcPr>
            <w:tcW w:w="1134" w:type="dxa"/>
            <w:tcBorders>
              <w:top w:val="nil"/>
              <w:left w:val="nil"/>
              <w:bottom w:val="single" w:sz="4" w:space="0" w:color="auto"/>
              <w:right w:val="single" w:sz="4" w:space="0" w:color="auto"/>
            </w:tcBorders>
            <w:shd w:val="clear" w:color="auto" w:fill="auto"/>
            <w:noWrap/>
            <w:vAlign w:val="center"/>
          </w:tcPr>
          <w:p w14:paraId="673F830E" w14:textId="0909DEBD"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0,8</w:t>
            </w:r>
          </w:p>
        </w:tc>
        <w:tc>
          <w:tcPr>
            <w:tcW w:w="851" w:type="dxa"/>
            <w:tcBorders>
              <w:top w:val="nil"/>
              <w:left w:val="nil"/>
              <w:bottom w:val="single" w:sz="4" w:space="0" w:color="auto"/>
              <w:right w:val="single" w:sz="4" w:space="0" w:color="auto"/>
            </w:tcBorders>
            <w:shd w:val="clear" w:color="auto" w:fill="auto"/>
            <w:noWrap/>
            <w:vAlign w:val="center"/>
          </w:tcPr>
          <w:p w14:paraId="0A93A9C6" w14:textId="5AB2A1F2"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0,2</w:t>
            </w:r>
          </w:p>
        </w:tc>
        <w:tc>
          <w:tcPr>
            <w:tcW w:w="850" w:type="dxa"/>
            <w:tcBorders>
              <w:top w:val="nil"/>
              <w:left w:val="nil"/>
              <w:bottom w:val="single" w:sz="4" w:space="0" w:color="auto"/>
              <w:right w:val="single" w:sz="4" w:space="0" w:color="auto"/>
            </w:tcBorders>
            <w:shd w:val="clear" w:color="auto" w:fill="auto"/>
            <w:noWrap/>
            <w:vAlign w:val="center"/>
          </w:tcPr>
          <w:p w14:paraId="5DE4C3CE" w14:textId="11FB9DFA"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44,7</w:t>
            </w:r>
          </w:p>
        </w:tc>
        <w:tc>
          <w:tcPr>
            <w:tcW w:w="855" w:type="dxa"/>
            <w:tcBorders>
              <w:top w:val="nil"/>
              <w:left w:val="nil"/>
              <w:bottom w:val="single" w:sz="4" w:space="0" w:color="auto"/>
              <w:right w:val="single" w:sz="4" w:space="0" w:color="auto"/>
            </w:tcBorders>
            <w:shd w:val="clear" w:color="auto" w:fill="auto"/>
            <w:noWrap/>
            <w:vAlign w:val="center"/>
          </w:tcPr>
          <w:p w14:paraId="2C389C7D" w14:textId="7CE84A39"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39,4</w:t>
            </w:r>
          </w:p>
        </w:tc>
        <w:tc>
          <w:tcPr>
            <w:tcW w:w="709" w:type="dxa"/>
            <w:tcBorders>
              <w:top w:val="nil"/>
              <w:left w:val="nil"/>
              <w:bottom w:val="single" w:sz="4" w:space="0" w:color="auto"/>
              <w:right w:val="single" w:sz="4" w:space="0" w:color="auto"/>
            </w:tcBorders>
            <w:shd w:val="clear" w:color="auto" w:fill="auto"/>
            <w:noWrap/>
            <w:vAlign w:val="center"/>
          </w:tcPr>
          <w:p w14:paraId="12D83B68" w14:textId="767454B4"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20,9</w:t>
            </w:r>
          </w:p>
        </w:tc>
      </w:tr>
      <w:tr w:rsidR="0077327B" w:rsidRPr="0077327B" w14:paraId="665F954A"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06192313" w14:textId="73CC5ED4" w:rsidR="0077327B" w:rsidRPr="0077327B" w:rsidRDefault="0077327B" w:rsidP="0077327B">
            <w:pPr>
              <w:spacing w:after="0" w:line="240" w:lineRule="auto"/>
              <w:rPr>
                <w:rFonts w:eastAsia="Times New Roman" w:cstheme="minorHAnsi"/>
                <w:sz w:val="18"/>
                <w:szCs w:val="18"/>
                <w:lang w:eastAsia="it-IT"/>
              </w:rPr>
            </w:pPr>
            <w:r w:rsidRPr="0077327B">
              <w:rPr>
                <w:rFonts w:eastAsia="Times New Roman" w:cstheme="minorHAnsi"/>
                <w:sz w:val="18"/>
                <w:szCs w:val="18"/>
                <w:lang w:eastAsia="it-IT"/>
              </w:rPr>
              <w:t>10-19</w:t>
            </w:r>
          </w:p>
        </w:tc>
        <w:tc>
          <w:tcPr>
            <w:tcW w:w="1276" w:type="dxa"/>
            <w:tcBorders>
              <w:top w:val="nil"/>
              <w:left w:val="nil"/>
              <w:bottom w:val="single" w:sz="4" w:space="0" w:color="auto"/>
              <w:right w:val="single" w:sz="4" w:space="0" w:color="auto"/>
            </w:tcBorders>
            <w:shd w:val="clear" w:color="auto" w:fill="auto"/>
            <w:noWrap/>
            <w:vAlign w:val="center"/>
          </w:tcPr>
          <w:p w14:paraId="0D634B06" w14:textId="67E28216"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37,5</w:t>
            </w:r>
          </w:p>
        </w:tc>
        <w:tc>
          <w:tcPr>
            <w:tcW w:w="1134" w:type="dxa"/>
            <w:tcBorders>
              <w:top w:val="nil"/>
              <w:left w:val="nil"/>
              <w:bottom w:val="single" w:sz="4" w:space="0" w:color="auto"/>
              <w:right w:val="single" w:sz="4" w:space="0" w:color="auto"/>
            </w:tcBorders>
            <w:shd w:val="clear" w:color="auto" w:fill="auto"/>
            <w:noWrap/>
            <w:vAlign w:val="center"/>
          </w:tcPr>
          <w:p w14:paraId="3541E4B8" w14:textId="77A57A34"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1,6</w:t>
            </w:r>
          </w:p>
        </w:tc>
        <w:tc>
          <w:tcPr>
            <w:tcW w:w="992" w:type="dxa"/>
            <w:tcBorders>
              <w:top w:val="nil"/>
              <w:left w:val="nil"/>
              <w:bottom w:val="single" w:sz="4" w:space="0" w:color="auto"/>
              <w:right w:val="single" w:sz="4" w:space="0" w:color="auto"/>
            </w:tcBorders>
            <w:shd w:val="clear" w:color="auto" w:fill="auto"/>
            <w:noWrap/>
            <w:vAlign w:val="center"/>
          </w:tcPr>
          <w:p w14:paraId="3BF041E2" w14:textId="224E1288"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11,2</w:t>
            </w:r>
          </w:p>
        </w:tc>
        <w:tc>
          <w:tcPr>
            <w:tcW w:w="992" w:type="dxa"/>
            <w:tcBorders>
              <w:top w:val="nil"/>
              <w:left w:val="nil"/>
              <w:bottom w:val="single" w:sz="4" w:space="0" w:color="auto"/>
              <w:right w:val="single" w:sz="4" w:space="0" w:color="auto"/>
            </w:tcBorders>
            <w:shd w:val="clear" w:color="auto" w:fill="auto"/>
            <w:noWrap/>
            <w:vAlign w:val="center"/>
          </w:tcPr>
          <w:p w14:paraId="0B1C492E" w14:textId="2829A5C7"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3,6</w:t>
            </w:r>
          </w:p>
        </w:tc>
        <w:tc>
          <w:tcPr>
            <w:tcW w:w="1134" w:type="dxa"/>
            <w:tcBorders>
              <w:top w:val="nil"/>
              <w:left w:val="nil"/>
              <w:bottom w:val="single" w:sz="4" w:space="0" w:color="auto"/>
              <w:right w:val="single" w:sz="4" w:space="0" w:color="auto"/>
            </w:tcBorders>
            <w:shd w:val="clear" w:color="auto" w:fill="auto"/>
            <w:noWrap/>
            <w:vAlign w:val="center"/>
          </w:tcPr>
          <w:p w14:paraId="57302787" w14:textId="60C989E0"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1,7</w:t>
            </w:r>
          </w:p>
        </w:tc>
        <w:tc>
          <w:tcPr>
            <w:tcW w:w="851" w:type="dxa"/>
            <w:tcBorders>
              <w:top w:val="nil"/>
              <w:left w:val="nil"/>
              <w:bottom w:val="single" w:sz="4" w:space="0" w:color="auto"/>
              <w:right w:val="single" w:sz="4" w:space="0" w:color="auto"/>
            </w:tcBorders>
            <w:shd w:val="clear" w:color="auto" w:fill="auto"/>
            <w:noWrap/>
            <w:vAlign w:val="center"/>
          </w:tcPr>
          <w:p w14:paraId="6D693A43" w14:textId="2EBB3443"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0,8</w:t>
            </w:r>
          </w:p>
        </w:tc>
        <w:tc>
          <w:tcPr>
            <w:tcW w:w="850" w:type="dxa"/>
            <w:tcBorders>
              <w:top w:val="nil"/>
              <w:left w:val="nil"/>
              <w:bottom w:val="single" w:sz="4" w:space="0" w:color="auto"/>
              <w:right w:val="single" w:sz="4" w:space="0" w:color="auto"/>
            </w:tcBorders>
            <w:shd w:val="clear" w:color="auto" w:fill="auto"/>
            <w:noWrap/>
            <w:vAlign w:val="center"/>
          </w:tcPr>
          <w:p w14:paraId="78ECFC78" w14:textId="5ED0B8AB"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39,9</w:t>
            </w:r>
          </w:p>
        </w:tc>
        <w:tc>
          <w:tcPr>
            <w:tcW w:w="855" w:type="dxa"/>
            <w:tcBorders>
              <w:top w:val="nil"/>
              <w:left w:val="nil"/>
              <w:bottom w:val="single" w:sz="4" w:space="0" w:color="auto"/>
              <w:right w:val="single" w:sz="4" w:space="0" w:color="auto"/>
            </w:tcBorders>
            <w:shd w:val="clear" w:color="auto" w:fill="auto"/>
            <w:noWrap/>
            <w:vAlign w:val="center"/>
          </w:tcPr>
          <w:p w14:paraId="369E8998" w14:textId="08495928"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34,2</w:t>
            </w:r>
          </w:p>
        </w:tc>
        <w:tc>
          <w:tcPr>
            <w:tcW w:w="709" w:type="dxa"/>
            <w:tcBorders>
              <w:top w:val="nil"/>
              <w:left w:val="nil"/>
              <w:bottom w:val="single" w:sz="4" w:space="0" w:color="auto"/>
              <w:right w:val="single" w:sz="4" w:space="0" w:color="auto"/>
            </w:tcBorders>
            <w:shd w:val="clear" w:color="auto" w:fill="auto"/>
            <w:noWrap/>
            <w:vAlign w:val="center"/>
          </w:tcPr>
          <w:p w14:paraId="7B116BC0" w14:textId="00EE0FA1"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19,8</w:t>
            </w:r>
          </w:p>
        </w:tc>
      </w:tr>
      <w:tr w:rsidR="0077327B" w:rsidRPr="0077327B" w14:paraId="351745A3"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676ABE8A" w14:textId="025ED591" w:rsidR="0077327B" w:rsidRPr="0077327B" w:rsidRDefault="0077327B" w:rsidP="0077327B">
            <w:pPr>
              <w:spacing w:after="0" w:line="240" w:lineRule="auto"/>
              <w:rPr>
                <w:rFonts w:eastAsia="Times New Roman" w:cstheme="minorHAnsi"/>
                <w:sz w:val="18"/>
                <w:szCs w:val="18"/>
                <w:lang w:eastAsia="it-IT"/>
              </w:rPr>
            </w:pPr>
            <w:r w:rsidRPr="0077327B">
              <w:rPr>
                <w:rFonts w:eastAsia="Times New Roman" w:cstheme="minorHAnsi"/>
                <w:sz w:val="18"/>
                <w:szCs w:val="18"/>
                <w:lang w:eastAsia="it-IT"/>
              </w:rPr>
              <w:t>20-49</w:t>
            </w:r>
          </w:p>
        </w:tc>
        <w:tc>
          <w:tcPr>
            <w:tcW w:w="1276" w:type="dxa"/>
            <w:tcBorders>
              <w:top w:val="nil"/>
              <w:left w:val="nil"/>
              <w:bottom w:val="single" w:sz="4" w:space="0" w:color="auto"/>
              <w:right w:val="single" w:sz="4" w:space="0" w:color="auto"/>
            </w:tcBorders>
            <w:shd w:val="clear" w:color="auto" w:fill="auto"/>
            <w:noWrap/>
            <w:vAlign w:val="center"/>
          </w:tcPr>
          <w:p w14:paraId="051CB2EA" w14:textId="47DA3A87"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46,5</w:t>
            </w:r>
          </w:p>
        </w:tc>
        <w:tc>
          <w:tcPr>
            <w:tcW w:w="1134" w:type="dxa"/>
            <w:tcBorders>
              <w:top w:val="nil"/>
              <w:left w:val="nil"/>
              <w:bottom w:val="single" w:sz="4" w:space="0" w:color="auto"/>
              <w:right w:val="single" w:sz="4" w:space="0" w:color="auto"/>
            </w:tcBorders>
            <w:shd w:val="clear" w:color="auto" w:fill="auto"/>
            <w:noWrap/>
            <w:vAlign w:val="center"/>
          </w:tcPr>
          <w:p w14:paraId="39087B5F" w14:textId="1A0418E0"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2,5</w:t>
            </w:r>
          </w:p>
        </w:tc>
        <w:tc>
          <w:tcPr>
            <w:tcW w:w="992" w:type="dxa"/>
            <w:tcBorders>
              <w:top w:val="nil"/>
              <w:left w:val="nil"/>
              <w:bottom w:val="single" w:sz="4" w:space="0" w:color="auto"/>
              <w:right w:val="single" w:sz="4" w:space="0" w:color="auto"/>
            </w:tcBorders>
            <w:shd w:val="clear" w:color="auto" w:fill="auto"/>
            <w:noWrap/>
            <w:vAlign w:val="center"/>
          </w:tcPr>
          <w:p w14:paraId="1571C67A" w14:textId="2A3B016C"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15,5</w:t>
            </w:r>
          </w:p>
        </w:tc>
        <w:tc>
          <w:tcPr>
            <w:tcW w:w="992" w:type="dxa"/>
            <w:tcBorders>
              <w:top w:val="nil"/>
              <w:left w:val="nil"/>
              <w:bottom w:val="single" w:sz="4" w:space="0" w:color="auto"/>
              <w:right w:val="single" w:sz="4" w:space="0" w:color="auto"/>
            </w:tcBorders>
            <w:shd w:val="clear" w:color="auto" w:fill="auto"/>
            <w:noWrap/>
            <w:vAlign w:val="center"/>
          </w:tcPr>
          <w:p w14:paraId="48D7FD6D" w14:textId="34B260FB"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3,8</w:t>
            </w:r>
          </w:p>
        </w:tc>
        <w:tc>
          <w:tcPr>
            <w:tcW w:w="1134" w:type="dxa"/>
            <w:tcBorders>
              <w:top w:val="nil"/>
              <w:left w:val="nil"/>
              <w:bottom w:val="single" w:sz="4" w:space="0" w:color="auto"/>
              <w:right w:val="single" w:sz="4" w:space="0" w:color="auto"/>
            </w:tcBorders>
            <w:shd w:val="clear" w:color="auto" w:fill="auto"/>
            <w:noWrap/>
            <w:vAlign w:val="center"/>
          </w:tcPr>
          <w:p w14:paraId="212226E6" w14:textId="3A3F415E"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3,6</w:t>
            </w:r>
          </w:p>
        </w:tc>
        <w:tc>
          <w:tcPr>
            <w:tcW w:w="851" w:type="dxa"/>
            <w:tcBorders>
              <w:top w:val="nil"/>
              <w:left w:val="nil"/>
              <w:bottom w:val="single" w:sz="4" w:space="0" w:color="auto"/>
              <w:right w:val="single" w:sz="4" w:space="0" w:color="auto"/>
            </w:tcBorders>
            <w:shd w:val="clear" w:color="auto" w:fill="auto"/>
            <w:noWrap/>
            <w:vAlign w:val="center"/>
          </w:tcPr>
          <w:p w14:paraId="363B1966" w14:textId="27BB983A"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1,4</w:t>
            </w:r>
          </w:p>
        </w:tc>
        <w:tc>
          <w:tcPr>
            <w:tcW w:w="850" w:type="dxa"/>
            <w:tcBorders>
              <w:top w:val="nil"/>
              <w:left w:val="nil"/>
              <w:bottom w:val="single" w:sz="4" w:space="0" w:color="auto"/>
              <w:right w:val="single" w:sz="4" w:space="0" w:color="auto"/>
            </w:tcBorders>
            <w:shd w:val="clear" w:color="auto" w:fill="auto"/>
            <w:noWrap/>
            <w:vAlign w:val="center"/>
          </w:tcPr>
          <w:p w14:paraId="144A41B6" w14:textId="62CBC42E"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38,7</w:t>
            </w:r>
          </w:p>
        </w:tc>
        <w:tc>
          <w:tcPr>
            <w:tcW w:w="855" w:type="dxa"/>
            <w:tcBorders>
              <w:top w:val="nil"/>
              <w:left w:val="nil"/>
              <w:bottom w:val="single" w:sz="4" w:space="0" w:color="auto"/>
              <w:right w:val="single" w:sz="4" w:space="0" w:color="auto"/>
            </w:tcBorders>
            <w:shd w:val="clear" w:color="auto" w:fill="auto"/>
            <w:noWrap/>
            <w:vAlign w:val="center"/>
          </w:tcPr>
          <w:p w14:paraId="7FC7ACEB" w14:textId="3E32141E"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31,1</w:t>
            </w:r>
          </w:p>
        </w:tc>
        <w:tc>
          <w:tcPr>
            <w:tcW w:w="709" w:type="dxa"/>
            <w:tcBorders>
              <w:top w:val="nil"/>
              <w:left w:val="nil"/>
              <w:bottom w:val="single" w:sz="4" w:space="0" w:color="auto"/>
              <w:right w:val="single" w:sz="4" w:space="0" w:color="auto"/>
            </w:tcBorders>
            <w:shd w:val="clear" w:color="auto" w:fill="auto"/>
            <w:noWrap/>
            <w:vAlign w:val="center"/>
          </w:tcPr>
          <w:p w14:paraId="2A41B05A" w14:textId="223AA2F5"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17,1</w:t>
            </w:r>
          </w:p>
        </w:tc>
      </w:tr>
      <w:tr w:rsidR="0077327B" w:rsidRPr="0077327B" w14:paraId="38D69728"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38E47AAD" w14:textId="0B33DA8B" w:rsidR="0077327B" w:rsidRPr="0077327B" w:rsidRDefault="0077327B" w:rsidP="0077327B">
            <w:pPr>
              <w:spacing w:after="0" w:line="240" w:lineRule="auto"/>
              <w:rPr>
                <w:rFonts w:eastAsia="Times New Roman" w:cstheme="minorHAnsi"/>
                <w:sz w:val="18"/>
                <w:szCs w:val="18"/>
                <w:lang w:eastAsia="it-IT"/>
              </w:rPr>
            </w:pPr>
            <w:r w:rsidRPr="0077327B">
              <w:rPr>
                <w:rFonts w:eastAsia="Times New Roman" w:cstheme="minorHAnsi"/>
                <w:sz w:val="18"/>
                <w:szCs w:val="18"/>
                <w:lang w:eastAsia="it-IT"/>
              </w:rPr>
              <w:t>50-99</w:t>
            </w:r>
          </w:p>
        </w:tc>
        <w:tc>
          <w:tcPr>
            <w:tcW w:w="1276" w:type="dxa"/>
            <w:tcBorders>
              <w:top w:val="nil"/>
              <w:left w:val="nil"/>
              <w:bottom w:val="single" w:sz="4" w:space="0" w:color="auto"/>
              <w:right w:val="single" w:sz="4" w:space="0" w:color="auto"/>
            </w:tcBorders>
            <w:shd w:val="clear" w:color="auto" w:fill="auto"/>
            <w:noWrap/>
            <w:vAlign w:val="center"/>
          </w:tcPr>
          <w:p w14:paraId="30431278" w14:textId="3E8A6599"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50,2</w:t>
            </w:r>
          </w:p>
        </w:tc>
        <w:tc>
          <w:tcPr>
            <w:tcW w:w="1134" w:type="dxa"/>
            <w:tcBorders>
              <w:top w:val="nil"/>
              <w:left w:val="nil"/>
              <w:bottom w:val="single" w:sz="4" w:space="0" w:color="auto"/>
              <w:right w:val="single" w:sz="4" w:space="0" w:color="auto"/>
            </w:tcBorders>
            <w:shd w:val="clear" w:color="auto" w:fill="auto"/>
            <w:noWrap/>
            <w:vAlign w:val="center"/>
          </w:tcPr>
          <w:p w14:paraId="18285459" w14:textId="5E687B31"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3,7</w:t>
            </w:r>
          </w:p>
        </w:tc>
        <w:tc>
          <w:tcPr>
            <w:tcW w:w="992" w:type="dxa"/>
            <w:tcBorders>
              <w:top w:val="nil"/>
              <w:left w:val="nil"/>
              <w:bottom w:val="single" w:sz="4" w:space="0" w:color="auto"/>
              <w:right w:val="single" w:sz="4" w:space="0" w:color="auto"/>
            </w:tcBorders>
            <w:shd w:val="clear" w:color="auto" w:fill="auto"/>
            <w:noWrap/>
            <w:vAlign w:val="center"/>
          </w:tcPr>
          <w:p w14:paraId="5E388A23" w14:textId="694AF41E"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17,3</w:t>
            </w:r>
          </w:p>
        </w:tc>
        <w:tc>
          <w:tcPr>
            <w:tcW w:w="992" w:type="dxa"/>
            <w:tcBorders>
              <w:top w:val="nil"/>
              <w:left w:val="nil"/>
              <w:bottom w:val="single" w:sz="4" w:space="0" w:color="auto"/>
              <w:right w:val="single" w:sz="4" w:space="0" w:color="auto"/>
            </w:tcBorders>
            <w:shd w:val="clear" w:color="auto" w:fill="auto"/>
            <w:noWrap/>
            <w:vAlign w:val="center"/>
          </w:tcPr>
          <w:p w14:paraId="3A183635" w14:textId="7B84239F"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4,8</w:t>
            </w:r>
          </w:p>
        </w:tc>
        <w:tc>
          <w:tcPr>
            <w:tcW w:w="1134" w:type="dxa"/>
            <w:tcBorders>
              <w:top w:val="nil"/>
              <w:left w:val="nil"/>
              <w:bottom w:val="single" w:sz="4" w:space="0" w:color="auto"/>
              <w:right w:val="single" w:sz="4" w:space="0" w:color="auto"/>
            </w:tcBorders>
            <w:shd w:val="clear" w:color="auto" w:fill="auto"/>
            <w:noWrap/>
            <w:vAlign w:val="center"/>
          </w:tcPr>
          <w:p w14:paraId="4DE472C2" w14:textId="17578D37"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4,5</w:t>
            </w:r>
          </w:p>
        </w:tc>
        <w:tc>
          <w:tcPr>
            <w:tcW w:w="851" w:type="dxa"/>
            <w:tcBorders>
              <w:top w:val="nil"/>
              <w:left w:val="nil"/>
              <w:bottom w:val="single" w:sz="4" w:space="0" w:color="auto"/>
              <w:right w:val="single" w:sz="4" w:space="0" w:color="auto"/>
            </w:tcBorders>
            <w:shd w:val="clear" w:color="auto" w:fill="auto"/>
            <w:noWrap/>
            <w:vAlign w:val="center"/>
          </w:tcPr>
          <w:p w14:paraId="50135EB5" w14:textId="14D1339A"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2,4</w:t>
            </w:r>
          </w:p>
        </w:tc>
        <w:tc>
          <w:tcPr>
            <w:tcW w:w="850" w:type="dxa"/>
            <w:tcBorders>
              <w:top w:val="nil"/>
              <w:left w:val="nil"/>
              <w:bottom w:val="single" w:sz="4" w:space="0" w:color="auto"/>
              <w:right w:val="single" w:sz="4" w:space="0" w:color="auto"/>
            </w:tcBorders>
            <w:shd w:val="clear" w:color="auto" w:fill="auto"/>
            <w:noWrap/>
            <w:vAlign w:val="center"/>
          </w:tcPr>
          <w:p w14:paraId="1225249E" w14:textId="38B54C66"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37,1</w:t>
            </w:r>
          </w:p>
        </w:tc>
        <w:tc>
          <w:tcPr>
            <w:tcW w:w="855" w:type="dxa"/>
            <w:tcBorders>
              <w:top w:val="nil"/>
              <w:left w:val="nil"/>
              <w:bottom w:val="single" w:sz="4" w:space="0" w:color="auto"/>
              <w:right w:val="single" w:sz="4" w:space="0" w:color="auto"/>
            </w:tcBorders>
            <w:shd w:val="clear" w:color="auto" w:fill="auto"/>
            <w:noWrap/>
            <w:vAlign w:val="center"/>
          </w:tcPr>
          <w:p w14:paraId="35FA733A" w14:textId="1E40BA67"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29,5</w:t>
            </w:r>
          </w:p>
        </w:tc>
        <w:tc>
          <w:tcPr>
            <w:tcW w:w="709" w:type="dxa"/>
            <w:tcBorders>
              <w:top w:val="nil"/>
              <w:left w:val="nil"/>
              <w:bottom w:val="single" w:sz="4" w:space="0" w:color="auto"/>
              <w:right w:val="single" w:sz="4" w:space="0" w:color="auto"/>
            </w:tcBorders>
            <w:shd w:val="clear" w:color="auto" w:fill="auto"/>
            <w:noWrap/>
            <w:vAlign w:val="center"/>
          </w:tcPr>
          <w:p w14:paraId="642349E4" w14:textId="343BB0A0"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17,1</w:t>
            </w:r>
          </w:p>
        </w:tc>
      </w:tr>
      <w:tr w:rsidR="0077327B" w:rsidRPr="0077327B" w14:paraId="7D76EDB9"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562C0B6D" w14:textId="5F53C92F" w:rsidR="0077327B" w:rsidRPr="0077327B" w:rsidRDefault="0077327B" w:rsidP="0077327B">
            <w:pPr>
              <w:spacing w:after="0" w:line="240" w:lineRule="auto"/>
              <w:rPr>
                <w:rFonts w:eastAsia="Times New Roman" w:cstheme="minorHAnsi"/>
                <w:sz w:val="18"/>
                <w:szCs w:val="18"/>
                <w:lang w:eastAsia="it-IT"/>
              </w:rPr>
            </w:pPr>
            <w:r w:rsidRPr="0077327B">
              <w:rPr>
                <w:rFonts w:eastAsia="Times New Roman" w:cstheme="minorHAnsi"/>
                <w:sz w:val="18"/>
                <w:szCs w:val="18"/>
                <w:lang w:eastAsia="it-IT"/>
              </w:rPr>
              <w:t>100-249</w:t>
            </w:r>
          </w:p>
        </w:tc>
        <w:tc>
          <w:tcPr>
            <w:tcW w:w="1276" w:type="dxa"/>
            <w:tcBorders>
              <w:top w:val="nil"/>
              <w:left w:val="nil"/>
              <w:bottom w:val="single" w:sz="4" w:space="0" w:color="auto"/>
              <w:right w:val="single" w:sz="4" w:space="0" w:color="auto"/>
            </w:tcBorders>
            <w:shd w:val="clear" w:color="auto" w:fill="auto"/>
            <w:noWrap/>
            <w:vAlign w:val="center"/>
          </w:tcPr>
          <w:p w14:paraId="72BF3CD2" w14:textId="70F3AE3B"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50,2</w:t>
            </w:r>
          </w:p>
        </w:tc>
        <w:tc>
          <w:tcPr>
            <w:tcW w:w="1134" w:type="dxa"/>
            <w:tcBorders>
              <w:top w:val="nil"/>
              <w:left w:val="nil"/>
              <w:bottom w:val="single" w:sz="4" w:space="0" w:color="auto"/>
              <w:right w:val="single" w:sz="4" w:space="0" w:color="auto"/>
            </w:tcBorders>
            <w:shd w:val="clear" w:color="auto" w:fill="auto"/>
            <w:noWrap/>
            <w:vAlign w:val="center"/>
          </w:tcPr>
          <w:p w14:paraId="2D8D3788" w14:textId="4F7011E8"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4,4</w:t>
            </w:r>
          </w:p>
        </w:tc>
        <w:tc>
          <w:tcPr>
            <w:tcW w:w="992" w:type="dxa"/>
            <w:tcBorders>
              <w:top w:val="nil"/>
              <w:left w:val="nil"/>
              <w:bottom w:val="single" w:sz="4" w:space="0" w:color="auto"/>
              <w:right w:val="single" w:sz="4" w:space="0" w:color="auto"/>
            </w:tcBorders>
            <w:shd w:val="clear" w:color="auto" w:fill="auto"/>
            <w:noWrap/>
            <w:vAlign w:val="center"/>
          </w:tcPr>
          <w:p w14:paraId="1D981DF9" w14:textId="196BD085"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18,2</w:t>
            </w:r>
          </w:p>
        </w:tc>
        <w:tc>
          <w:tcPr>
            <w:tcW w:w="992" w:type="dxa"/>
            <w:tcBorders>
              <w:top w:val="nil"/>
              <w:left w:val="nil"/>
              <w:bottom w:val="single" w:sz="4" w:space="0" w:color="auto"/>
              <w:right w:val="single" w:sz="4" w:space="0" w:color="auto"/>
            </w:tcBorders>
            <w:shd w:val="clear" w:color="auto" w:fill="auto"/>
            <w:noWrap/>
            <w:vAlign w:val="center"/>
          </w:tcPr>
          <w:p w14:paraId="6FC28A75" w14:textId="582B2C9F"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5,7</w:t>
            </w:r>
          </w:p>
        </w:tc>
        <w:tc>
          <w:tcPr>
            <w:tcW w:w="1134" w:type="dxa"/>
            <w:tcBorders>
              <w:top w:val="nil"/>
              <w:left w:val="nil"/>
              <w:bottom w:val="single" w:sz="4" w:space="0" w:color="auto"/>
              <w:right w:val="single" w:sz="4" w:space="0" w:color="auto"/>
            </w:tcBorders>
            <w:shd w:val="clear" w:color="auto" w:fill="auto"/>
            <w:noWrap/>
            <w:vAlign w:val="center"/>
          </w:tcPr>
          <w:p w14:paraId="1546A2C4" w14:textId="0B5BB358"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5,6</w:t>
            </w:r>
          </w:p>
        </w:tc>
        <w:tc>
          <w:tcPr>
            <w:tcW w:w="851" w:type="dxa"/>
            <w:tcBorders>
              <w:top w:val="nil"/>
              <w:left w:val="nil"/>
              <w:bottom w:val="single" w:sz="4" w:space="0" w:color="auto"/>
              <w:right w:val="single" w:sz="4" w:space="0" w:color="auto"/>
            </w:tcBorders>
            <w:shd w:val="clear" w:color="auto" w:fill="auto"/>
            <w:noWrap/>
            <w:vAlign w:val="center"/>
          </w:tcPr>
          <w:p w14:paraId="51DF0135" w14:textId="57FBF9CE"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4,6</w:t>
            </w:r>
          </w:p>
        </w:tc>
        <w:tc>
          <w:tcPr>
            <w:tcW w:w="850" w:type="dxa"/>
            <w:tcBorders>
              <w:top w:val="nil"/>
              <w:left w:val="nil"/>
              <w:bottom w:val="single" w:sz="4" w:space="0" w:color="auto"/>
              <w:right w:val="single" w:sz="4" w:space="0" w:color="auto"/>
            </w:tcBorders>
            <w:shd w:val="clear" w:color="auto" w:fill="auto"/>
            <w:noWrap/>
            <w:vAlign w:val="center"/>
          </w:tcPr>
          <w:p w14:paraId="733E3D72" w14:textId="78AB2E92"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37,5</w:t>
            </w:r>
          </w:p>
        </w:tc>
        <w:tc>
          <w:tcPr>
            <w:tcW w:w="855" w:type="dxa"/>
            <w:tcBorders>
              <w:top w:val="nil"/>
              <w:left w:val="nil"/>
              <w:bottom w:val="single" w:sz="4" w:space="0" w:color="auto"/>
              <w:right w:val="single" w:sz="4" w:space="0" w:color="auto"/>
            </w:tcBorders>
            <w:shd w:val="clear" w:color="auto" w:fill="auto"/>
            <w:noWrap/>
            <w:vAlign w:val="center"/>
          </w:tcPr>
          <w:p w14:paraId="35C82D89" w14:textId="5A2695F7"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30,9</w:t>
            </w:r>
          </w:p>
        </w:tc>
        <w:tc>
          <w:tcPr>
            <w:tcW w:w="709" w:type="dxa"/>
            <w:tcBorders>
              <w:top w:val="nil"/>
              <w:left w:val="nil"/>
              <w:bottom w:val="single" w:sz="4" w:space="0" w:color="auto"/>
              <w:right w:val="single" w:sz="4" w:space="0" w:color="auto"/>
            </w:tcBorders>
            <w:shd w:val="clear" w:color="auto" w:fill="auto"/>
            <w:noWrap/>
            <w:vAlign w:val="center"/>
          </w:tcPr>
          <w:p w14:paraId="5B87A2A1" w14:textId="1554198C" w:rsidR="0077327B" w:rsidRPr="0077327B" w:rsidRDefault="0077327B" w:rsidP="0077327B">
            <w:pPr>
              <w:spacing w:after="0" w:line="240" w:lineRule="auto"/>
              <w:jc w:val="center"/>
              <w:rPr>
                <w:rFonts w:eastAsia="Times New Roman" w:cstheme="minorHAnsi"/>
                <w:sz w:val="18"/>
                <w:szCs w:val="18"/>
                <w:lang w:eastAsia="it-IT"/>
              </w:rPr>
            </w:pPr>
            <w:r w:rsidRPr="0077327B">
              <w:rPr>
                <w:rFonts w:cstheme="minorHAnsi"/>
                <w:sz w:val="18"/>
                <w:szCs w:val="18"/>
              </w:rPr>
              <w:t>18,0</w:t>
            </w:r>
          </w:p>
        </w:tc>
      </w:tr>
      <w:tr w:rsidR="00EC2C2C" w:rsidRPr="0077327B" w14:paraId="557DAAFF"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4D9FE99E" w14:textId="795C1E37" w:rsidR="00EC2C2C" w:rsidRPr="0077327B" w:rsidRDefault="00EC2C2C" w:rsidP="00EC2C2C">
            <w:pPr>
              <w:spacing w:after="0" w:line="240" w:lineRule="auto"/>
              <w:rPr>
                <w:rFonts w:eastAsia="Times New Roman" w:cstheme="minorHAnsi"/>
                <w:sz w:val="18"/>
                <w:szCs w:val="18"/>
                <w:lang w:eastAsia="it-IT"/>
              </w:rPr>
            </w:pPr>
            <w:r w:rsidRPr="00A37B5E">
              <w:rPr>
                <w:rFonts w:eastAsia="Aptos" w:cstheme="minorHAnsi"/>
                <w:kern w:val="2"/>
                <w:sz w:val="18"/>
                <w:szCs w:val="18"/>
                <w14:ligatures w14:val="standardContextual"/>
              </w:rPr>
              <w:t xml:space="preserve">250 </w:t>
            </w:r>
            <w:r>
              <w:rPr>
                <w:rFonts w:eastAsia="Aptos" w:cstheme="minorHAnsi"/>
                <w:kern w:val="2"/>
                <w:sz w:val="18"/>
                <w:szCs w:val="18"/>
                <w14:ligatures w14:val="standardContextual"/>
              </w:rPr>
              <w:t xml:space="preserve">&gt; </w:t>
            </w:r>
          </w:p>
        </w:tc>
        <w:tc>
          <w:tcPr>
            <w:tcW w:w="1276" w:type="dxa"/>
            <w:tcBorders>
              <w:top w:val="nil"/>
              <w:left w:val="nil"/>
              <w:bottom w:val="single" w:sz="4" w:space="0" w:color="auto"/>
              <w:right w:val="single" w:sz="4" w:space="0" w:color="auto"/>
            </w:tcBorders>
            <w:shd w:val="clear" w:color="auto" w:fill="auto"/>
            <w:noWrap/>
            <w:vAlign w:val="center"/>
          </w:tcPr>
          <w:p w14:paraId="0AD22A98" w14:textId="5664CA27" w:rsidR="00EC2C2C" w:rsidRPr="0077327B" w:rsidRDefault="00EC2C2C" w:rsidP="00EC2C2C">
            <w:pPr>
              <w:spacing w:after="0" w:line="240" w:lineRule="auto"/>
              <w:jc w:val="center"/>
              <w:rPr>
                <w:rFonts w:eastAsia="Times New Roman" w:cstheme="minorHAnsi"/>
                <w:sz w:val="18"/>
                <w:szCs w:val="18"/>
                <w:lang w:eastAsia="it-IT"/>
              </w:rPr>
            </w:pPr>
            <w:r w:rsidRPr="0077327B">
              <w:rPr>
                <w:rFonts w:cstheme="minorHAnsi"/>
                <w:sz w:val="18"/>
                <w:szCs w:val="18"/>
              </w:rPr>
              <w:t>45,6</w:t>
            </w:r>
          </w:p>
        </w:tc>
        <w:tc>
          <w:tcPr>
            <w:tcW w:w="1134" w:type="dxa"/>
            <w:tcBorders>
              <w:top w:val="nil"/>
              <w:left w:val="nil"/>
              <w:bottom w:val="single" w:sz="4" w:space="0" w:color="auto"/>
              <w:right w:val="single" w:sz="4" w:space="0" w:color="auto"/>
            </w:tcBorders>
            <w:shd w:val="clear" w:color="auto" w:fill="auto"/>
            <w:noWrap/>
            <w:vAlign w:val="center"/>
          </w:tcPr>
          <w:p w14:paraId="3BB8B4AE" w14:textId="73AC2024" w:rsidR="00EC2C2C" w:rsidRPr="0077327B" w:rsidRDefault="00EC2C2C" w:rsidP="00EC2C2C">
            <w:pPr>
              <w:spacing w:after="0" w:line="240" w:lineRule="auto"/>
              <w:jc w:val="center"/>
              <w:rPr>
                <w:rFonts w:eastAsia="Times New Roman" w:cstheme="minorHAnsi"/>
                <w:sz w:val="18"/>
                <w:szCs w:val="18"/>
                <w:lang w:eastAsia="it-IT"/>
              </w:rPr>
            </w:pPr>
            <w:r w:rsidRPr="0077327B">
              <w:rPr>
                <w:rFonts w:cstheme="minorHAnsi"/>
                <w:sz w:val="18"/>
                <w:szCs w:val="18"/>
              </w:rPr>
              <w:t>7,3</w:t>
            </w:r>
          </w:p>
        </w:tc>
        <w:tc>
          <w:tcPr>
            <w:tcW w:w="992" w:type="dxa"/>
            <w:tcBorders>
              <w:top w:val="nil"/>
              <w:left w:val="nil"/>
              <w:bottom w:val="single" w:sz="4" w:space="0" w:color="auto"/>
              <w:right w:val="single" w:sz="4" w:space="0" w:color="auto"/>
            </w:tcBorders>
            <w:shd w:val="clear" w:color="auto" w:fill="auto"/>
            <w:noWrap/>
            <w:vAlign w:val="center"/>
          </w:tcPr>
          <w:p w14:paraId="37F8382D" w14:textId="2D5A0D73" w:rsidR="00EC2C2C" w:rsidRPr="0077327B" w:rsidRDefault="00EC2C2C" w:rsidP="00EC2C2C">
            <w:pPr>
              <w:spacing w:after="0" w:line="240" w:lineRule="auto"/>
              <w:jc w:val="center"/>
              <w:rPr>
                <w:rFonts w:eastAsia="Times New Roman" w:cstheme="minorHAnsi"/>
                <w:sz w:val="18"/>
                <w:szCs w:val="18"/>
                <w:lang w:eastAsia="it-IT"/>
              </w:rPr>
            </w:pPr>
            <w:r w:rsidRPr="0077327B">
              <w:rPr>
                <w:rFonts w:cstheme="minorHAnsi"/>
                <w:sz w:val="18"/>
                <w:szCs w:val="18"/>
              </w:rPr>
              <w:t>17,7</w:t>
            </w:r>
          </w:p>
        </w:tc>
        <w:tc>
          <w:tcPr>
            <w:tcW w:w="992" w:type="dxa"/>
            <w:tcBorders>
              <w:top w:val="nil"/>
              <w:left w:val="nil"/>
              <w:bottom w:val="single" w:sz="4" w:space="0" w:color="auto"/>
              <w:right w:val="single" w:sz="4" w:space="0" w:color="auto"/>
            </w:tcBorders>
            <w:shd w:val="clear" w:color="auto" w:fill="auto"/>
            <w:noWrap/>
            <w:vAlign w:val="center"/>
          </w:tcPr>
          <w:p w14:paraId="488FDC55" w14:textId="72C2BEBB" w:rsidR="00EC2C2C" w:rsidRPr="0077327B" w:rsidRDefault="00EC2C2C" w:rsidP="00EC2C2C">
            <w:pPr>
              <w:spacing w:after="0" w:line="240" w:lineRule="auto"/>
              <w:jc w:val="center"/>
              <w:rPr>
                <w:rFonts w:eastAsia="Times New Roman" w:cstheme="minorHAnsi"/>
                <w:sz w:val="18"/>
                <w:szCs w:val="18"/>
                <w:lang w:eastAsia="it-IT"/>
              </w:rPr>
            </w:pPr>
            <w:r w:rsidRPr="0077327B">
              <w:rPr>
                <w:rFonts w:cstheme="minorHAnsi"/>
                <w:sz w:val="18"/>
                <w:szCs w:val="18"/>
              </w:rPr>
              <w:t>8,4</w:t>
            </w:r>
          </w:p>
        </w:tc>
        <w:tc>
          <w:tcPr>
            <w:tcW w:w="1134" w:type="dxa"/>
            <w:tcBorders>
              <w:top w:val="nil"/>
              <w:left w:val="nil"/>
              <w:bottom w:val="single" w:sz="4" w:space="0" w:color="auto"/>
              <w:right w:val="single" w:sz="4" w:space="0" w:color="auto"/>
            </w:tcBorders>
            <w:shd w:val="clear" w:color="auto" w:fill="auto"/>
            <w:noWrap/>
            <w:vAlign w:val="center"/>
          </w:tcPr>
          <w:p w14:paraId="52047561" w14:textId="341BF07D" w:rsidR="00EC2C2C" w:rsidRPr="0077327B" w:rsidRDefault="00EC2C2C" w:rsidP="00EC2C2C">
            <w:pPr>
              <w:spacing w:after="0" w:line="240" w:lineRule="auto"/>
              <w:jc w:val="center"/>
              <w:rPr>
                <w:rFonts w:eastAsia="Times New Roman" w:cstheme="minorHAnsi"/>
                <w:sz w:val="18"/>
                <w:szCs w:val="18"/>
                <w:lang w:eastAsia="it-IT"/>
              </w:rPr>
            </w:pPr>
            <w:r w:rsidRPr="0077327B">
              <w:rPr>
                <w:rFonts w:cstheme="minorHAnsi"/>
                <w:sz w:val="18"/>
                <w:szCs w:val="18"/>
              </w:rPr>
              <w:t>6,0</w:t>
            </w:r>
          </w:p>
        </w:tc>
        <w:tc>
          <w:tcPr>
            <w:tcW w:w="851" w:type="dxa"/>
            <w:tcBorders>
              <w:top w:val="nil"/>
              <w:left w:val="nil"/>
              <w:bottom w:val="single" w:sz="4" w:space="0" w:color="auto"/>
              <w:right w:val="single" w:sz="4" w:space="0" w:color="auto"/>
            </w:tcBorders>
            <w:shd w:val="clear" w:color="auto" w:fill="auto"/>
            <w:noWrap/>
            <w:vAlign w:val="center"/>
          </w:tcPr>
          <w:p w14:paraId="1017F58A" w14:textId="2EE5BC42" w:rsidR="00EC2C2C" w:rsidRPr="0077327B" w:rsidRDefault="00EC2C2C" w:rsidP="00EC2C2C">
            <w:pPr>
              <w:spacing w:after="0" w:line="240" w:lineRule="auto"/>
              <w:jc w:val="center"/>
              <w:rPr>
                <w:rFonts w:eastAsia="Times New Roman" w:cstheme="minorHAnsi"/>
                <w:sz w:val="18"/>
                <w:szCs w:val="18"/>
                <w:lang w:eastAsia="it-IT"/>
              </w:rPr>
            </w:pPr>
            <w:r w:rsidRPr="0077327B">
              <w:rPr>
                <w:rFonts w:cstheme="minorHAnsi"/>
                <w:sz w:val="18"/>
                <w:szCs w:val="18"/>
              </w:rPr>
              <w:t>8,7</w:t>
            </w:r>
          </w:p>
        </w:tc>
        <w:tc>
          <w:tcPr>
            <w:tcW w:w="850" w:type="dxa"/>
            <w:tcBorders>
              <w:top w:val="nil"/>
              <w:left w:val="nil"/>
              <w:bottom w:val="single" w:sz="4" w:space="0" w:color="auto"/>
              <w:right w:val="single" w:sz="4" w:space="0" w:color="auto"/>
            </w:tcBorders>
            <w:shd w:val="clear" w:color="auto" w:fill="auto"/>
            <w:noWrap/>
            <w:vAlign w:val="center"/>
          </w:tcPr>
          <w:p w14:paraId="023366CF" w14:textId="3E740971" w:rsidR="00EC2C2C" w:rsidRPr="0077327B" w:rsidRDefault="00EC2C2C" w:rsidP="00EC2C2C">
            <w:pPr>
              <w:spacing w:after="0" w:line="240" w:lineRule="auto"/>
              <w:jc w:val="center"/>
              <w:rPr>
                <w:rFonts w:eastAsia="Times New Roman" w:cstheme="minorHAnsi"/>
                <w:sz w:val="18"/>
                <w:szCs w:val="18"/>
                <w:lang w:eastAsia="it-IT"/>
              </w:rPr>
            </w:pPr>
            <w:r w:rsidRPr="0077327B">
              <w:rPr>
                <w:rFonts w:cstheme="minorHAnsi"/>
                <w:sz w:val="18"/>
                <w:szCs w:val="18"/>
              </w:rPr>
              <w:t>36,4</w:t>
            </w:r>
          </w:p>
        </w:tc>
        <w:tc>
          <w:tcPr>
            <w:tcW w:w="855" w:type="dxa"/>
            <w:tcBorders>
              <w:top w:val="nil"/>
              <w:left w:val="nil"/>
              <w:bottom w:val="single" w:sz="4" w:space="0" w:color="auto"/>
              <w:right w:val="single" w:sz="4" w:space="0" w:color="auto"/>
            </w:tcBorders>
            <w:shd w:val="clear" w:color="auto" w:fill="auto"/>
            <w:noWrap/>
            <w:vAlign w:val="center"/>
          </w:tcPr>
          <w:p w14:paraId="08FBC51B" w14:textId="049B0940" w:rsidR="00EC2C2C" w:rsidRPr="0077327B" w:rsidRDefault="00EC2C2C" w:rsidP="00EC2C2C">
            <w:pPr>
              <w:spacing w:after="0" w:line="240" w:lineRule="auto"/>
              <w:jc w:val="center"/>
              <w:rPr>
                <w:rFonts w:eastAsia="Times New Roman" w:cstheme="minorHAnsi"/>
                <w:sz w:val="18"/>
                <w:szCs w:val="18"/>
                <w:lang w:eastAsia="it-IT"/>
              </w:rPr>
            </w:pPr>
            <w:r w:rsidRPr="0077327B">
              <w:rPr>
                <w:rFonts w:cstheme="minorHAnsi"/>
                <w:sz w:val="18"/>
                <w:szCs w:val="18"/>
              </w:rPr>
              <w:t>33,7</w:t>
            </w:r>
          </w:p>
        </w:tc>
        <w:tc>
          <w:tcPr>
            <w:tcW w:w="709" w:type="dxa"/>
            <w:tcBorders>
              <w:top w:val="nil"/>
              <w:left w:val="nil"/>
              <w:bottom w:val="single" w:sz="4" w:space="0" w:color="auto"/>
              <w:right w:val="single" w:sz="4" w:space="0" w:color="auto"/>
            </w:tcBorders>
            <w:shd w:val="clear" w:color="auto" w:fill="auto"/>
            <w:noWrap/>
            <w:vAlign w:val="center"/>
          </w:tcPr>
          <w:p w14:paraId="3DC54F3D" w14:textId="4ABE7D85" w:rsidR="00EC2C2C" w:rsidRPr="0077327B" w:rsidRDefault="00EC2C2C" w:rsidP="00EC2C2C">
            <w:pPr>
              <w:spacing w:after="0" w:line="240" w:lineRule="auto"/>
              <w:jc w:val="center"/>
              <w:rPr>
                <w:rFonts w:eastAsia="Times New Roman" w:cstheme="minorHAnsi"/>
                <w:sz w:val="18"/>
                <w:szCs w:val="18"/>
                <w:lang w:eastAsia="it-IT"/>
              </w:rPr>
            </w:pPr>
            <w:r w:rsidRPr="0077327B">
              <w:rPr>
                <w:rFonts w:cstheme="minorHAnsi"/>
                <w:sz w:val="18"/>
                <w:szCs w:val="18"/>
              </w:rPr>
              <w:t>22,4</w:t>
            </w:r>
          </w:p>
        </w:tc>
      </w:tr>
      <w:tr w:rsidR="0077327B" w:rsidRPr="0077327B" w14:paraId="288DCB4B"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BFBBBCD" w14:textId="3B61AC39" w:rsidR="0077327B" w:rsidRPr="0077327B" w:rsidRDefault="0077327B" w:rsidP="0077327B">
            <w:pPr>
              <w:spacing w:after="0" w:line="240" w:lineRule="auto"/>
              <w:rPr>
                <w:rFonts w:eastAsia="Times New Roman" w:cstheme="minorHAnsi"/>
                <w:b/>
                <w:bCs/>
                <w:sz w:val="18"/>
                <w:szCs w:val="18"/>
                <w:lang w:eastAsia="it-IT"/>
              </w:rPr>
            </w:pPr>
            <w:r w:rsidRPr="0077327B">
              <w:rPr>
                <w:rFonts w:eastAsia="Times New Roman" w:cstheme="minorHAnsi"/>
                <w:b/>
                <w:bCs/>
                <w:sz w:val="18"/>
                <w:szCs w:val="18"/>
                <w:lang w:eastAsia="it-IT"/>
              </w:rPr>
              <w:t>Totale</w:t>
            </w:r>
          </w:p>
        </w:tc>
        <w:tc>
          <w:tcPr>
            <w:tcW w:w="1276" w:type="dxa"/>
            <w:tcBorders>
              <w:top w:val="nil"/>
              <w:left w:val="nil"/>
              <w:bottom w:val="single" w:sz="4" w:space="0" w:color="auto"/>
              <w:right w:val="single" w:sz="4" w:space="0" w:color="auto"/>
            </w:tcBorders>
            <w:shd w:val="clear" w:color="auto" w:fill="auto"/>
            <w:noWrap/>
            <w:vAlign w:val="center"/>
          </w:tcPr>
          <w:p w14:paraId="0360A50E" w14:textId="08E223AC" w:rsidR="0077327B" w:rsidRPr="0077327B" w:rsidRDefault="0077327B" w:rsidP="0077327B">
            <w:pPr>
              <w:spacing w:after="0" w:line="240" w:lineRule="auto"/>
              <w:jc w:val="center"/>
              <w:rPr>
                <w:rFonts w:eastAsia="Times New Roman" w:cstheme="minorHAnsi"/>
                <w:b/>
                <w:bCs/>
                <w:sz w:val="18"/>
                <w:szCs w:val="18"/>
                <w:lang w:eastAsia="it-IT"/>
              </w:rPr>
            </w:pPr>
            <w:r w:rsidRPr="0077327B">
              <w:rPr>
                <w:rFonts w:cstheme="minorHAnsi"/>
                <w:b/>
                <w:bCs/>
                <w:sz w:val="18"/>
                <w:szCs w:val="18"/>
              </w:rPr>
              <w:t>29,8</w:t>
            </w:r>
          </w:p>
        </w:tc>
        <w:tc>
          <w:tcPr>
            <w:tcW w:w="1134" w:type="dxa"/>
            <w:tcBorders>
              <w:top w:val="nil"/>
              <w:left w:val="nil"/>
              <w:bottom w:val="single" w:sz="4" w:space="0" w:color="auto"/>
              <w:right w:val="single" w:sz="4" w:space="0" w:color="auto"/>
            </w:tcBorders>
            <w:shd w:val="clear" w:color="auto" w:fill="auto"/>
            <w:noWrap/>
            <w:vAlign w:val="center"/>
          </w:tcPr>
          <w:p w14:paraId="2DA8CE0C" w14:textId="667F347B" w:rsidR="0077327B" w:rsidRPr="0077327B" w:rsidRDefault="0077327B" w:rsidP="0077327B">
            <w:pPr>
              <w:spacing w:after="0" w:line="240" w:lineRule="auto"/>
              <w:jc w:val="center"/>
              <w:rPr>
                <w:rFonts w:eastAsia="Times New Roman" w:cstheme="minorHAnsi"/>
                <w:b/>
                <w:bCs/>
                <w:sz w:val="18"/>
                <w:szCs w:val="18"/>
                <w:lang w:eastAsia="it-IT"/>
              </w:rPr>
            </w:pPr>
            <w:r w:rsidRPr="0077327B">
              <w:rPr>
                <w:rFonts w:cstheme="minorHAnsi"/>
                <w:b/>
                <w:bCs/>
                <w:sz w:val="18"/>
                <w:szCs w:val="18"/>
              </w:rPr>
              <w:t>1,3</w:t>
            </w:r>
          </w:p>
        </w:tc>
        <w:tc>
          <w:tcPr>
            <w:tcW w:w="992" w:type="dxa"/>
            <w:tcBorders>
              <w:top w:val="nil"/>
              <w:left w:val="nil"/>
              <w:bottom w:val="single" w:sz="4" w:space="0" w:color="auto"/>
              <w:right w:val="single" w:sz="4" w:space="0" w:color="auto"/>
            </w:tcBorders>
            <w:shd w:val="clear" w:color="auto" w:fill="auto"/>
            <w:noWrap/>
            <w:vAlign w:val="center"/>
          </w:tcPr>
          <w:p w14:paraId="3FF57288" w14:textId="390D38F6" w:rsidR="0077327B" w:rsidRPr="0077327B" w:rsidRDefault="0077327B" w:rsidP="0077327B">
            <w:pPr>
              <w:spacing w:after="0" w:line="240" w:lineRule="auto"/>
              <w:jc w:val="center"/>
              <w:rPr>
                <w:rFonts w:eastAsia="Times New Roman" w:cstheme="minorHAnsi"/>
                <w:b/>
                <w:bCs/>
                <w:sz w:val="18"/>
                <w:szCs w:val="18"/>
                <w:lang w:eastAsia="it-IT"/>
              </w:rPr>
            </w:pPr>
            <w:r w:rsidRPr="0077327B">
              <w:rPr>
                <w:rFonts w:cstheme="minorHAnsi"/>
                <w:b/>
                <w:bCs/>
                <w:sz w:val="18"/>
                <w:szCs w:val="18"/>
              </w:rPr>
              <w:t>8,9</w:t>
            </w:r>
          </w:p>
        </w:tc>
        <w:tc>
          <w:tcPr>
            <w:tcW w:w="992" w:type="dxa"/>
            <w:tcBorders>
              <w:top w:val="nil"/>
              <w:left w:val="nil"/>
              <w:bottom w:val="single" w:sz="4" w:space="0" w:color="auto"/>
              <w:right w:val="single" w:sz="4" w:space="0" w:color="auto"/>
            </w:tcBorders>
            <w:shd w:val="clear" w:color="auto" w:fill="auto"/>
            <w:noWrap/>
            <w:vAlign w:val="center"/>
          </w:tcPr>
          <w:p w14:paraId="4637B2E2" w14:textId="4B4F0CE2" w:rsidR="0077327B" w:rsidRPr="0077327B" w:rsidRDefault="0077327B" w:rsidP="0077327B">
            <w:pPr>
              <w:spacing w:after="0" w:line="240" w:lineRule="auto"/>
              <w:jc w:val="center"/>
              <w:rPr>
                <w:rFonts w:eastAsia="Times New Roman" w:cstheme="minorHAnsi"/>
                <w:b/>
                <w:bCs/>
                <w:sz w:val="18"/>
                <w:szCs w:val="18"/>
                <w:lang w:eastAsia="it-IT"/>
              </w:rPr>
            </w:pPr>
            <w:r w:rsidRPr="0077327B">
              <w:rPr>
                <w:rFonts w:cstheme="minorHAnsi"/>
                <w:b/>
                <w:bCs/>
                <w:sz w:val="18"/>
                <w:szCs w:val="18"/>
              </w:rPr>
              <w:t>2,4</w:t>
            </w:r>
          </w:p>
        </w:tc>
        <w:tc>
          <w:tcPr>
            <w:tcW w:w="1134" w:type="dxa"/>
            <w:tcBorders>
              <w:top w:val="nil"/>
              <w:left w:val="nil"/>
              <w:bottom w:val="single" w:sz="4" w:space="0" w:color="auto"/>
              <w:right w:val="single" w:sz="4" w:space="0" w:color="auto"/>
            </w:tcBorders>
            <w:shd w:val="clear" w:color="auto" w:fill="auto"/>
            <w:noWrap/>
            <w:vAlign w:val="center"/>
          </w:tcPr>
          <w:p w14:paraId="61D65C05" w14:textId="32AE19F0" w:rsidR="0077327B" w:rsidRPr="0077327B" w:rsidRDefault="0077327B" w:rsidP="0077327B">
            <w:pPr>
              <w:spacing w:after="0" w:line="240" w:lineRule="auto"/>
              <w:jc w:val="center"/>
              <w:rPr>
                <w:rFonts w:eastAsia="Times New Roman" w:cstheme="minorHAnsi"/>
                <w:b/>
                <w:bCs/>
                <w:sz w:val="18"/>
                <w:szCs w:val="18"/>
                <w:lang w:eastAsia="it-IT"/>
              </w:rPr>
            </w:pPr>
            <w:r w:rsidRPr="0077327B">
              <w:rPr>
                <w:rFonts w:cstheme="minorHAnsi"/>
                <w:b/>
                <w:bCs/>
                <w:sz w:val="18"/>
                <w:szCs w:val="18"/>
              </w:rPr>
              <w:t>1,3</w:t>
            </w:r>
          </w:p>
        </w:tc>
        <w:tc>
          <w:tcPr>
            <w:tcW w:w="851" w:type="dxa"/>
            <w:tcBorders>
              <w:top w:val="nil"/>
              <w:left w:val="nil"/>
              <w:bottom w:val="single" w:sz="4" w:space="0" w:color="auto"/>
              <w:right w:val="single" w:sz="4" w:space="0" w:color="auto"/>
            </w:tcBorders>
            <w:shd w:val="clear" w:color="auto" w:fill="auto"/>
            <w:noWrap/>
            <w:vAlign w:val="center"/>
          </w:tcPr>
          <w:p w14:paraId="77951670" w14:textId="5C25CBE0" w:rsidR="0077327B" w:rsidRPr="0077327B" w:rsidRDefault="0077327B" w:rsidP="0077327B">
            <w:pPr>
              <w:spacing w:after="0" w:line="240" w:lineRule="auto"/>
              <w:jc w:val="center"/>
              <w:rPr>
                <w:rFonts w:eastAsia="Times New Roman" w:cstheme="minorHAnsi"/>
                <w:b/>
                <w:bCs/>
                <w:sz w:val="18"/>
                <w:szCs w:val="18"/>
                <w:lang w:eastAsia="it-IT"/>
              </w:rPr>
            </w:pPr>
            <w:r w:rsidRPr="0077327B">
              <w:rPr>
                <w:rFonts w:cstheme="minorHAnsi"/>
                <w:b/>
                <w:bCs/>
                <w:sz w:val="18"/>
                <w:szCs w:val="18"/>
              </w:rPr>
              <w:t>0,6</w:t>
            </w:r>
          </w:p>
        </w:tc>
        <w:tc>
          <w:tcPr>
            <w:tcW w:w="850" w:type="dxa"/>
            <w:tcBorders>
              <w:top w:val="nil"/>
              <w:left w:val="nil"/>
              <w:bottom w:val="single" w:sz="4" w:space="0" w:color="auto"/>
              <w:right w:val="single" w:sz="4" w:space="0" w:color="auto"/>
            </w:tcBorders>
            <w:shd w:val="clear" w:color="auto" w:fill="auto"/>
            <w:noWrap/>
            <w:vAlign w:val="center"/>
          </w:tcPr>
          <w:p w14:paraId="2D8AB2BC" w14:textId="310B395A" w:rsidR="0077327B" w:rsidRPr="0077327B" w:rsidRDefault="0077327B" w:rsidP="0077327B">
            <w:pPr>
              <w:spacing w:after="0" w:line="240" w:lineRule="auto"/>
              <w:jc w:val="center"/>
              <w:rPr>
                <w:rFonts w:eastAsia="Times New Roman" w:cstheme="minorHAnsi"/>
                <w:b/>
                <w:bCs/>
                <w:sz w:val="18"/>
                <w:szCs w:val="18"/>
                <w:lang w:eastAsia="it-IT"/>
              </w:rPr>
            </w:pPr>
            <w:r w:rsidRPr="0077327B">
              <w:rPr>
                <w:rFonts w:cstheme="minorHAnsi"/>
                <w:b/>
                <w:bCs/>
                <w:sz w:val="18"/>
                <w:szCs w:val="18"/>
              </w:rPr>
              <w:t>43,1</w:t>
            </w:r>
          </w:p>
        </w:tc>
        <w:tc>
          <w:tcPr>
            <w:tcW w:w="855" w:type="dxa"/>
            <w:tcBorders>
              <w:top w:val="nil"/>
              <w:left w:val="nil"/>
              <w:bottom w:val="single" w:sz="4" w:space="0" w:color="auto"/>
              <w:right w:val="single" w:sz="4" w:space="0" w:color="auto"/>
            </w:tcBorders>
            <w:shd w:val="clear" w:color="auto" w:fill="auto"/>
            <w:noWrap/>
            <w:vAlign w:val="center"/>
          </w:tcPr>
          <w:p w14:paraId="3CF7AD70" w14:textId="16A3F788" w:rsidR="0077327B" w:rsidRPr="0077327B" w:rsidRDefault="0077327B" w:rsidP="0077327B">
            <w:pPr>
              <w:spacing w:after="0" w:line="240" w:lineRule="auto"/>
              <w:jc w:val="center"/>
              <w:rPr>
                <w:rFonts w:eastAsia="Times New Roman" w:cstheme="minorHAnsi"/>
                <w:b/>
                <w:bCs/>
                <w:sz w:val="18"/>
                <w:szCs w:val="18"/>
                <w:lang w:eastAsia="it-IT"/>
              </w:rPr>
            </w:pPr>
            <w:r w:rsidRPr="0077327B">
              <w:rPr>
                <w:rFonts w:cstheme="minorHAnsi"/>
                <w:b/>
                <w:bCs/>
                <w:sz w:val="18"/>
                <w:szCs w:val="18"/>
              </w:rPr>
              <w:t>37,5</w:t>
            </w:r>
          </w:p>
        </w:tc>
        <w:tc>
          <w:tcPr>
            <w:tcW w:w="709" w:type="dxa"/>
            <w:tcBorders>
              <w:top w:val="nil"/>
              <w:left w:val="nil"/>
              <w:bottom w:val="single" w:sz="4" w:space="0" w:color="auto"/>
              <w:right w:val="single" w:sz="4" w:space="0" w:color="auto"/>
            </w:tcBorders>
            <w:shd w:val="clear" w:color="auto" w:fill="auto"/>
            <w:noWrap/>
            <w:vAlign w:val="center"/>
          </w:tcPr>
          <w:p w14:paraId="04C5850C" w14:textId="2B5BDAF9" w:rsidR="0077327B" w:rsidRPr="0077327B" w:rsidRDefault="0077327B" w:rsidP="0077327B">
            <w:pPr>
              <w:spacing w:after="0" w:line="240" w:lineRule="auto"/>
              <w:jc w:val="center"/>
              <w:rPr>
                <w:rFonts w:eastAsia="Times New Roman" w:cstheme="minorHAnsi"/>
                <w:b/>
                <w:bCs/>
                <w:sz w:val="18"/>
                <w:szCs w:val="18"/>
                <w:lang w:eastAsia="it-IT"/>
              </w:rPr>
            </w:pPr>
            <w:r w:rsidRPr="0077327B">
              <w:rPr>
                <w:rFonts w:cstheme="minorHAnsi"/>
                <w:b/>
                <w:bCs/>
                <w:sz w:val="18"/>
                <w:szCs w:val="18"/>
              </w:rPr>
              <w:t>20,3</w:t>
            </w:r>
          </w:p>
        </w:tc>
      </w:tr>
      <w:tr w:rsidR="00B52243" w:rsidRPr="0077327B" w14:paraId="3A107F2F"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713D3185" w14:textId="77777777" w:rsidR="001B4ECB" w:rsidRPr="0077327B" w:rsidRDefault="001B4ECB" w:rsidP="001B4ECB">
            <w:pPr>
              <w:spacing w:after="0" w:line="240" w:lineRule="auto"/>
              <w:rPr>
                <w:rFonts w:eastAsia="Times New Roman" w:cstheme="minorHAnsi"/>
                <w:sz w:val="18"/>
                <w:szCs w:val="18"/>
                <w:lang w:eastAsia="it-IT"/>
              </w:rPr>
            </w:pPr>
            <w:r w:rsidRPr="0077327B">
              <w:rPr>
                <w:rFonts w:eastAsia="Times New Roman" w:cstheme="minorHAnsi"/>
                <w:sz w:val="18"/>
                <w:szCs w:val="18"/>
                <w:lang w:eastAsia="it-IT"/>
              </w:rPr>
              <w:t>Centro</w:t>
            </w:r>
          </w:p>
        </w:tc>
        <w:tc>
          <w:tcPr>
            <w:tcW w:w="1276" w:type="dxa"/>
            <w:tcBorders>
              <w:top w:val="nil"/>
              <w:left w:val="nil"/>
              <w:bottom w:val="single" w:sz="4" w:space="0" w:color="auto"/>
              <w:right w:val="single" w:sz="4" w:space="0" w:color="auto"/>
            </w:tcBorders>
            <w:shd w:val="clear" w:color="auto" w:fill="D5DCE4" w:themeFill="text2" w:themeFillTint="33"/>
            <w:noWrap/>
            <w:vAlign w:val="center"/>
            <w:hideMark/>
          </w:tcPr>
          <w:p w14:paraId="53A1A1BE" w14:textId="77777777" w:rsidR="001B4ECB" w:rsidRPr="0077327B" w:rsidRDefault="001B4ECB" w:rsidP="0077327B">
            <w:pPr>
              <w:spacing w:after="0" w:line="240" w:lineRule="auto"/>
              <w:jc w:val="center"/>
              <w:rPr>
                <w:rFonts w:eastAsia="Times New Roman" w:cstheme="minorHAnsi"/>
                <w:sz w:val="18"/>
                <w:szCs w:val="18"/>
                <w:lang w:eastAsia="it-IT"/>
              </w:rPr>
            </w:pPr>
            <w:r w:rsidRPr="0077327B">
              <w:rPr>
                <w:rFonts w:eastAsia="Times New Roman" w:cstheme="minorHAnsi"/>
                <w:sz w:val="18"/>
                <w:szCs w:val="18"/>
                <w:lang w:eastAsia="it-IT"/>
              </w:rPr>
              <w:t>27,0</w:t>
            </w:r>
          </w:p>
        </w:tc>
        <w:tc>
          <w:tcPr>
            <w:tcW w:w="1134" w:type="dxa"/>
            <w:tcBorders>
              <w:top w:val="nil"/>
              <w:left w:val="nil"/>
              <w:bottom w:val="single" w:sz="4" w:space="0" w:color="auto"/>
              <w:right w:val="single" w:sz="4" w:space="0" w:color="auto"/>
            </w:tcBorders>
            <w:shd w:val="clear" w:color="auto" w:fill="D5DCE4" w:themeFill="text2" w:themeFillTint="33"/>
            <w:noWrap/>
            <w:vAlign w:val="center"/>
            <w:hideMark/>
          </w:tcPr>
          <w:p w14:paraId="7AC6DB8C" w14:textId="77777777" w:rsidR="001B4ECB" w:rsidRPr="0077327B" w:rsidRDefault="001B4ECB" w:rsidP="0077327B">
            <w:pPr>
              <w:spacing w:after="0" w:line="240" w:lineRule="auto"/>
              <w:jc w:val="center"/>
              <w:rPr>
                <w:rFonts w:eastAsia="Times New Roman" w:cstheme="minorHAnsi"/>
                <w:sz w:val="18"/>
                <w:szCs w:val="18"/>
                <w:lang w:eastAsia="it-IT"/>
              </w:rPr>
            </w:pPr>
            <w:r w:rsidRPr="0077327B">
              <w:rPr>
                <w:rFonts w:eastAsia="Times New Roman" w:cstheme="minorHAnsi"/>
                <w:sz w:val="18"/>
                <w:szCs w:val="18"/>
                <w:lang w:eastAsia="it-IT"/>
              </w:rPr>
              <w:t>1,0</w:t>
            </w:r>
          </w:p>
        </w:tc>
        <w:tc>
          <w:tcPr>
            <w:tcW w:w="992" w:type="dxa"/>
            <w:tcBorders>
              <w:top w:val="nil"/>
              <w:left w:val="nil"/>
              <w:bottom w:val="single" w:sz="4" w:space="0" w:color="auto"/>
              <w:right w:val="single" w:sz="4" w:space="0" w:color="auto"/>
            </w:tcBorders>
            <w:shd w:val="clear" w:color="auto" w:fill="D5DCE4" w:themeFill="text2" w:themeFillTint="33"/>
            <w:noWrap/>
            <w:vAlign w:val="center"/>
            <w:hideMark/>
          </w:tcPr>
          <w:p w14:paraId="39E18EC8" w14:textId="77777777" w:rsidR="001B4ECB" w:rsidRPr="0077327B" w:rsidRDefault="001B4ECB" w:rsidP="0077327B">
            <w:pPr>
              <w:spacing w:after="0" w:line="240" w:lineRule="auto"/>
              <w:jc w:val="center"/>
              <w:rPr>
                <w:rFonts w:eastAsia="Times New Roman" w:cstheme="minorHAnsi"/>
                <w:sz w:val="18"/>
                <w:szCs w:val="18"/>
                <w:lang w:eastAsia="it-IT"/>
              </w:rPr>
            </w:pPr>
            <w:r w:rsidRPr="0077327B">
              <w:rPr>
                <w:rFonts w:eastAsia="Times New Roman" w:cstheme="minorHAnsi"/>
                <w:sz w:val="18"/>
                <w:szCs w:val="18"/>
                <w:lang w:eastAsia="it-IT"/>
              </w:rPr>
              <w:t>7,6</w:t>
            </w:r>
          </w:p>
        </w:tc>
        <w:tc>
          <w:tcPr>
            <w:tcW w:w="992" w:type="dxa"/>
            <w:tcBorders>
              <w:top w:val="nil"/>
              <w:left w:val="nil"/>
              <w:bottom w:val="single" w:sz="4" w:space="0" w:color="auto"/>
              <w:right w:val="single" w:sz="4" w:space="0" w:color="auto"/>
            </w:tcBorders>
            <w:shd w:val="clear" w:color="auto" w:fill="D5DCE4" w:themeFill="text2" w:themeFillTint="33"/>
            <w:noWrap/>
            <w:vAlign w:val="center"/>
            <w:hideMark/>
          </w:tcPr>
          <w:p w14:paraId="1D2F717D" w14:textId="77777777" w:rsidR="001B4ECB" w:rsidRPr="0077327B" w:rsidRDefault="001B4ECB" w:rsidP="0077327B">
            <w:pPr>
              <w:spacing w:after="0" w:line="240" w:lineRule="auto"/>
              <w:jc w:val="center"/>
              <w:rPr>
                <w:rFonts w:eastAsia="Times New Roman" w:cstheme="minorHAnsi"/>
                <w:sz w:val="18"/>
                <w:szCs w:val="18"/>
                <w:lang w:eastAsia="it-IT"/>
              </w:rPr>
            </w:pPr>
            <w:r w:rsidRPr="0077327B">
              <w:rPr>
                <w:rFonts w:eastAsia="Times New Roman" w:cstheme="minorHAnsi"/>
                <w:sz w:val="18"/>
                <w:szCs w:val="18"/>
                <w:lang w:eastAsia="it-IT"/>
              </w:rPr>
              <w:t>1,8</w:t>
            </w:r>
          </w:p>
        </w:tc>
        <w:tc>
          <w:tcPr>
            <w:tcW w:w="1134" w:type="dxa"/>
            <w:tcBorders>
              <w:top w:val="nil"/>
              <w:left w:val="nil"/>
              <w:bottom w:val="single" w:sz="4" w:space="0" w:color="auto"/>
              <w:right w:val="single" w:sz="4" w:space="0" w:color="auto"/>
            </w:tcBorders>
            <w:shd w:val="clear" w:color="auto" w:fill="D5DCE4" w:themeFill="text2" w:themeFillTint="33"/>
            <w:noWrap/>
            <w:vAlign w:val="center"/>
            <w:hideMark/>
          </w:tcPr>
          <w:p w14:paraId="4021924A" w14:textId="77777777" w:rsidR="001B4ECB" w:rsidRPr="0077327B" w:rsidRDefault="001B4ECB" w:rsidP="0077327B">
            <w:pPr>
              <w:spacing w:after="0" w:line="240" w:lineRule="auto"/>
              <w:jc w:val="center"/>
              <w:rPr>
                <w:rFonts w:eastAsia="Times New Roman" w:cstheme="minorHAnsi"/>
                <w:sz w:val="18"/>
                <w:szCs w:val="18"/>
                <w:lang w:eastAsia="it-IT"/>
              </w:rPr>
            </w:pPr>
            <w:r w:rsidRPr="0077327B">
              <w:rPr>
                <w:rFonts w:eastAsia="Times New Roman" w:cstheme="minorHAnsi"/>
                <w:sz w:val="18"/>
                <w:szCs w:val="18"/>
                <w:lang w:eastAsia="it-IT"/>
              </w:rPr>
              <w:t>1,3</w:t>
            </w:r>
          </w:p>
        </w:tc>
        <w:tc>
          <w:tcPr>
            <w:tcW w:w="851" w:type="dxa"/>
            <w:tcBorders>
              <w:top w:val="nil"/>
              <w:left w:val="nil"/>
              <w:bottom w:val="single" w:sz="4" w:space="0" w:color="auto"/>
              <w:right w:val="single" w:sz="4" w:space="0" w:color="auto"/>
            </w:tcBorders>
            <w:shd w:val="clear" w:color="auto" w:fill="D5DCE4" w:themeFill="text2" w:themeFillTint="33"/>
            <w:noWrap/>
            <w:vAlign w:val="center"/>
            <w:hideMark/>
          </w:tcPr>
          <w:p w14:paraId="62F5FE77" w14:textId="77777777" w:rsidR="001B4ECB" w:rsidRPr="0077327B" w:rsidRDefault="001B4ECB" w:rsidP="0077327B">
            <w:pPr>
              <w:spacing w:after="0" w:line="240" w:lineRule="auto"/>
              <w:jc w:val="center"/>
              <w:rPr>
                <w:rFonts w:eastAsia="Times New Roman" w:cstheme="minorHAnsi"/>
                <w:sz w:val="18"/>
                <w:szCs w:val="18"/>
                <w:lang w:eastAsia="it-IT"/>
              </w:rPr>
            </w:pPr>
            <w:r w:rsidRPr="0077327B">
              <w:rPr>
                <w:rFonts w:eastAsia="Times New Roman" w:cstheme="minorHAnsi"/>
                <w:sz w:val="18"/>
                <w:szCs w:val="18"/>
                <w:lang w:eastAsia="it-IT"/>
              </w:rPr>
              <w:t>0,4</w:t>
            </w:r>
          </w:p>
        </w:tc>
        <w:tc>
          <w:tcPr>
            <w:tcW w:w="850" w:type="dxa"/>
            <w:tcBorders>
              <w:top w:val="nil"/>
              <w:left w:val="nil"/>
              <w:bottom w:val="single" w:sz="4" w:space="0" w:color="auto"/>
              <w:right w:val="single" w:sz="4" w:space="0" w:color="auto"/>
            </w:tcBorders>
            <w:shd w:val="clear" w:color="auto" w:fill="D5DCE4" w:themeFill="text2" w:themeFillTint="33"/>
            <w:noWrap/>
            <w:vAlign w:val="center"/>
            <w:hideMark/>
          </w:tcPr>
          <w:p w14:paraId="1230166A" w14:textId="77777777" w:rsidR="001B4ECB" w:rsidRPr="0077327B" w:rsidRDefault="001B4ECB" w:rsidP="0077327B">
            <w:pPr>
              <w:spacing w:after="0" w:line="240" w:lineRule="auto"/>
              <w:jc w:val="center"/>
              <w:rPr>
                <w:rFonts w:eastAsia="Times New Roman" w:cstheme="minorHAnsi"/>
                <w:sz w:val="18"/>
                <w:szCs w:val="18"/>
                <w:lang w:eastAsia="it-IT"/>
              </w:rPr>
            </w:pPr>
            <w:r w:rsidRPr="0077327B">
              <w:rPr>
                <w:rFonts w:eastAsia="Times New Roman" w:cstheme="minorHAnsi"/>
                <w:sz w:val="18"/>
                <w:szCs w:val="18"/>
                <w:lang w:eastAsia="it-IT"/>
              </w:rPr>
              <w:t>44,4</w:t>
            </w:r>
          </w:p>
        </w:tc>
        <w:tc>
          <w:tcPr>
            <w:tcW w:w="855" w:type="dxa"/>
            <w:tcBorders>
              <w:top w:val="nil"/>
              <w:left w:val="nil"/>
              <w:bottom w:val="single" w:sz="4" w:space="0" w:color="auto"/>
              <w:right w:val="single" w:sz="4" w:space="0" w:color="auto"/>
            </w:tcBorders>
            <w:shd w:val="clear" w:color="auto" w:fill="D5DCE4" w:themeFill="text2" w:themeFillTint="33"/>
            <w:noWrap/>
            <w:vAlign w:val="center"/>
            <w:hideMark/>
          </w:tcPr>
          <w:p w14:paraId="59D8ABA9" w14:textId="77777777" w:rsidR="001B4ECB" w:rsidRPr="0077327B" w:rsidRDefault="001B4ECB" w:rsidP="0077327B">
            <w:pPr>
              <w:spacing w:after="0" w:line="240" w:lineRule="auto"/>
              <w:jc w:val="center"/>
              <w:rPr>
                <w:rFonts w:eastAsia="Times New Roman" w:cstheme="minorHAnsi"/>
                <w:sz w:val="18"/>
                <w:szCs w:val="18"/>
                <w:lang w:eastAsia="it-IT"/>
              </w:rPr>
            </w:pPr>
            <w:r w:rsidRPr="0077327B">
              <w:rPr>
                <w:rFonts w:eastAsia="Times New Roman" w:cstheme="minorHAnsi"/>
                <w:sz w:val="18"/>
                <w:szCs w:val="18"/>
                <w:lang w:eastAsia="it-IT"/>
              </w:rPr>
              <w:t>40,3</w:t>
            </w:r>
          </w:p>
        </w:tc>
        <w:tc>
          <w:tcPr>
            <w:tcW w:w="709" w:type="dxa"/>
            <w:tcBorders>
              <w:top w:val="nil"/>
              <w:left w:val="nil"/>
              <w:bottom w:val="single" w:sz="4" w:space="0" w:color="auto"/>
              <w:right w:val="single" w:sz="4" w:space="0" w:color="auto"/>
            </w:tcBorders>
            <w:shd w:val="clear" w:color="auto" w:fill="D5DCE4" w:themeFill="text2" w:themeFillTint="33"/>
            <w:noWrap/>
            <w:vAlign w:val="center"/>
            <w:hideMark/>
          </w:tcPr>
          <w:p w14:paraId="683E535A" w14:textId="77777777" w:rsidR="001B4ECB" w:rsidRPr="0077327B" w:rsidRDefault="001B4ECB" w:rsidP="0077327B">
            <w:pPr>
              <w:spacing w:after="0" w:line="240" w:lineRule="auto"/>
              <w:jc w:val="center"/>
              <w:rPr>
                <w:rFonts w:eastAsia="Times New Roman" w:cstheme="minorHAnsi"/>
                <w:sz w:val="18"/>
                <w:szCs w:val="18"/>
                <w:lang w:eastAsia="it-IT"/>
              </w:rPr>
            </w:pPr>
            <w:r w:rsidRPr="0077327B">
              <w:rPr>
                <w:rFonts w:eastAsia="Times New Roman" w:cstheme="minorHAnsi"/>
                <w:sz w:val="18"/>
                <w:szCs w:val="18"/>
                <w:lang w:eastAsia="it-IT"/>
              </w:rPr>
              <w:t>19,3</w:t>
            </w:r>
          </w:p>
        </w:tc>
      </w:tr>
      <w:tr w:rsidR="00A502C1" w:rsidRPr="0077327B" w14:paraId="6FA21034"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EBFF99" w14:textId="77777777" w:rsidR="001B4ECB" w:rsidRPr="0077327B" w:rsidRDefault="001B4ECB" w:rsidP="001B4ECB">
            <w:pPr>
              <w:spacing w:after="0" w:line="240" w:lineRule="auto"/>
              <w:rPr>
                <w:rFonts w:eastAsia="Times New Roman" w:cstheme="minorHAnsi"/>
                <w:b/>
                <w:bCs/>
                <w:sz w:val="18"/>
                <w:szCs w:val="18"/>
                <w:lang w:eastAsia="it-IT"/>
              </w:rPr>
            </w:pPr>
            <w:r w:rsidRPr="0077327B">
              <w:rPr>
                <w:rFonts w:eastAsia="Times New Roman" w:cstheme="minorHAnsi"/>
                <w:b/>
                <w:bCs/>
                <w:sz w:val="18"/>
                <w:szCs w:val="18"/>
                <w:lang w:eastAsia="it-IT"/>
              </w:rPr>
              <w:t>Italia</w:t>
            </w:r>
          </w:p>
        </w:tc>
        <w:tc>
          <w:tcPr>
            <w:tcW w:w="1276" w:type="dxa"/>
            <w:tcBorders>
              <w:top w:val="nil"/>
              <w:left w:val="nil"/>
              <w:bottom w:val="single" w:sz="4" w:space="0" w:color="auto"/>
              <w:right w:val="single" w:sz="4" w:space="0" w:color="auto"/>
            </w:tcBorders>
            <w:shd w:val="clear" w:color="auto" w:fill="auto"/>
            <w:noWrap/>
            <w:vAlign w:val="center"/>
            <w:hideMark/>
          </w:tcPr>
          <w:p w14:paraId="69B95C08" w14:textId="77777777" w:rsidR="001B4ECB" w:rsidRPr="0077327B" w:rsidRDefault="001B4ECB" w:rsidP="0077327B">
            <w:pPr>
              <w:spacing w:after="0" w:line="240" w:lineRule="auto"/>
              <w:jc w:val="center"/>
              <w:rPr>
                <w:rFonts w:eastAsia="Times New Roman" w:cstheme="minorHAnsi"/>
                <w:b/>
                <w:bCs/>
                <w:sz w:val="18"/>
                <w:szCs w:val="18"/>
                <w:lang w:eastAsia="it-IT"/>
              </w:rPr>
            </w:pPr>
            <w:r w:rsidRPr="0077327B">
              <w:rPr>
                <w:rFonts w:eastAsia="Times New Roman" w:cstheme="minorHAnsi"/>
                <w:b/>
                <w:bCs/>
                <w:sz w:val="18"/>
                <w:szCs w:val="18"/>
                <w:lang w:eastAsia="it-IT"/>
              </w:rPr>
              <w:t>29,8</w:t>
            </w:r>
          </w:p>
        </w:tc>
        <w:tc>
          <w:tcPr>
            <w:tcW w:w="1134" w:type="dxa"/>
            <w:tcBorders>
              <w:top w:val="nil"/>
              <w:left w:val="nil"/>
              <w:bottom w:val="single" w:sz="4" w:space="0" w:color="auto"/>
              <w:right w:val="single" w:sz="4" w:space="0" w:color="auto"/>
            </w:tcBorders>
            <w:shd w:val="clear" w:color="auto" w:fill="auto"/>
            <w:noWrap/>
            <w:vAlign w:val="center"/>
            <w:hideMark/>
          </w:tcPr>
          <w:p w14:paraId="070C9BBE" w14:textId="77777777" w:rsidR="001B4ECB" w:rsidRPr="0077327B" w:rsidRDefault="001B4ECB" w:rsidP="0077327B">
            <w:pPr>
              <w:spacing w:after="0" w:line="240" w:lineRule="auto"/>
              <w:jc w:val="center"/>
              <w:rPr>
                <w:rFonts w:eastAsia="Times New Roman" w:cstheme="minorHAnsi"/>
                <w:b/>
                <w:bCs/>
                <w:sz w:val="18"/>
                <w:szCs w:val="18"/>
                <w:lang w:eastAsia="it-IT"/>
              </w:rPr>
            </w:pPr>
            <w:r w:rsidRPr="0077327B">
              <w:rPr>
                <w:rFonts w:eastAsia="Times New Roman" w:cstheme="minorHAnsi"/>
                <w:b/>
                <w:bCs/>
                <w:sz w:val="18"/>
                <w:szCs w:val="18"/>
                <w:lang w:eastAsia="it-IT"/>
              </w:rPr>
              <w:t>1,3</w:t>
            </w:r>
          </w:p>
        </w:tc>
        <w:tc>
          <w:tcPr>
            <w:tcW w:w="992" w:type="dxa"/>
            <w:tcBorders>
              <w:top w:val="nil"/>
              <w:left w:val="nil"/>
              <w:bottom w:val="single" w:sz="4" w:space="0" w:color="auto"/>
              <w:right w:val="single" w:sz="4" w:space="0" w:color="auto"/>
            </w:tcBorders>
            <w:shd w:val="clear" w:color="auto" w:fill="auto"/>
            <w:noWrap/>
            <w:vAlign w:val="center"/>
            <w:hideMark/>
          </w:tcPr>
          <w:p w14:paraId="09BF6CAB" w14:textId="77777777" w:rsidR="001B4ECB" w:rsidRPr="0077327B" w:rsidRDefault="001B4ECB" w:rsidP="0077327B">
            <w:pPr>
              <w:spacing w:after="0" w:line="240" w:lineRule="auto"/>
              <w:jc w:val="center"/>
              <w:rPr>
                <w:rFonts w:eastAsia="Times New Roman" w:cstheme="minorHAnsi"/>
                <w:b/>
                <w:bCs/>
                <w:sz w:val="18"/>
                <w:szCs w:val="18"/>
                <w:lang w:eastAsia="it-IT"/>
              </w:rPr>
            </w:pPr>
            <w:r w:rsidRPr="0077327B">
              <w:rPr>
                <w:rFonts w:eastAsia="Times New Roman" w:cstheme="minorHAnsi"/>
                <w:b/>
                <w:bCs/>
                <w:sz w:val="18"/>
                <w:szCs w:val="18"/>
                <w:lang w:eastAsia="it-IT"/>
              </w:rPr>
              <w:t>8,9</w:t>
            </w:r>
          </w:p>
        </w:tc>
        <w:tc>
          <w:tcPr>
            <w:tcW w:w="992" w:type="dxa"/>
            <w:tcBorders>
              <w:top w:val="nil"/>
              <w:left w:val="nil"/>
              <w:bottom w:val="single" w:sz="4" w:space="0" w:color="auto"/>
              <w:right w:val="single" w:sz="4" w:space="0" w:color="auto"/>
            </w:tcBorders>
            <w:shd w:val="clear" w:color="auto" w:fill="auto"/>
            <w:noWrap/>
            <w:vAlign w:val="center"/>
            <w:hideMark/>
          </w:tcPr>
          <w:p w14:paraId="0FB888C8" w14:textId="77777777" w:rsidR="001B4ECB" w:rsidRPr="0077327B" w:rsidRDefault="001B4ECB" w:rsidP="0077327B">
            <w:pPr>
              <w:spacing w:after="0" w:line="240" w:lineRule="auto"/>
              <w:jc w:val="center"/>
              <w:rPr>
                <w:rFonts w:eastAsia="Times New Roman" w:cstheme="minorHAnsi"/>
                <w:b/>
                <w:bCs/>
                <w:sz w:val="18"/>
                <w:szCs w:val="18"/>
                <w:lang w:eastAsia="it-IT"/>
              </w:rPr>
            </w:pPr>
            <w:r w:rsidRPr="0077327B">
              <w:rPr>
                <w:rFonts w:eastAsia="Times New Roman" w:cstheme="minorHAnsi"/>
                <w:b/>
                <w:bCs/>
                <w:sz w:val="18"/>
                <w:szCs w:val="18"/>
                <w:lang w:eastAsia="it-IT"/>
              </w:rPr>
              <w:t>2,4</w:t>
            </w:r>
          </w:p>
        </w:tc>
        <w:tc>
          <w:tcPr>
            <w:tcW w:w="1134" w:type="dxa"/>
            <w:tcBorders>
              <w:top w:val="nil"/>
              <w:left w:val="nil"/>
              <w:bottom w:val="single" w:sz="4" w:space="0" w:color="auto"/>
              <w:right w:val="single" w:sz="4" w:space="0" w:color="auto"/>
            </w:tcBorders>
            <w:shd w:val="clear" w:color="auto" w:fill="auto"/>
            <w:noWrap/>
            <w:vAlign w:val="center"/>
            <w:hideMark/>
          </w:tcPr>
          <w:p w14:paraId="35641E06" w14:textId="77777777" w:rsidR="001B4ECB" w:rsidRPr="0077327B" w:rsidRDefault="001B4ECB" w:rsidP="0077327B">
            <w:pPr>
              <w:spacing w:after="0" w:line="240" w:lineRule="auto"/>
              <w:jc w:val="center"/>
              <w:rPr>
                <w:rFonts w:eastAsia="Times New Roman" w:cstheme="minorHAnsi"/>
                <w:b/>
                <w:bCs/>
                <w:sz w:val="18"/>
                <w:szCs w:val="18"/>
                <w:lang w:eastAsia="it-IT"/>
              </w:rPr>
            </w:pPr>
            <w:r w:rsidRPr="0077327B">
              <w:rPr>
                <w:rFonts w:eastAsia="Times New Roman" w:cstheme="minorHAnsi"/>
                <w:b/>
                <w:bCs/>
                <w:sz w:val="18"/>
                <w:szCs w:val="18"/>
                <w:lang w:eastAsia="it-IT"/>
              </w:rPr>
              <w:t>1,3</w:t>
            </w:r>
          </w:p>
        </w:tc>
        <w:tc>
          <w:tcPr>
            <w:tcW w:w="851" w:type="dxa"/>
            <w:tcBorders>
              <w:top w:val="nil"/>
              <w:left w:val="nil"/>
              <w:bottom w:val="single" w:sz="4" w:space="0" w:color="auto"/>
              <w:right w:val="single" w:sz="4" w:space="0" w:color="auto"/>
            </w:tcBorders>
            <w:shd w:val="clear" w:color="auto" w:fill="auto"/>
            <w:noWrap/>
            <w:vAlign w:val="center"/>
            <w:hideMark/>
          </w:tcPr>
          <w:p w14:paraId="5CE09CF3" w14:textId="77777777" w:rsidR="001B4ECB" w:rsidRPr="0077327B" w:rsidRDefault="001B4ECB" w:rsidP="0077327B">
            <w:pPr>
              <w:spacing w:after="0" w:line="240" w:lineRule="auto"/>
              <w:jc w:val="center"/>
              <w:rPr>
                <w:rFonts w:eastAsia="Times New Roman" w:cstheme="minorHAnsi"/>
                <w:b/>
                <w:bCs/>
                <w:sz w:val="18"/>
                <w:szCs w:val="18"/>
                <w:lang w:eastAsia="it-IT"/>
              </w:rPr>
            </w:pPr>
            <w:r w:rsidRPr="0077327B">
              <w:rPr>
                <w:rFonts w:eastAsia="Times New Roman" w:cstheme="minorHAnsi"/>
                <w:b/>
                <w:bCs/>
                <w:sz w:val="18"/>
                <w:szCs w:val="18"/>
                <w:lang w:eastAsia="it-IT"/>
              </w:rPr>
              <w:t>0,6</w:t>
            </w:r>
          </w:p>
        </w:tc>
        <w:tc>
          <w:tcPr>
            <w:tcW w:w="850" w:type="dxa"/>
            <w:tcBorders>
              <w:top w:val="nil"/>
              <w:left w:val="nil"/>
              <w:bottom w:val="single" w:sz="4" w:space="0" w:color="auto"/>
              <w:right w:val="single" w:sz="4" w:space="0" w:color="auto"/>
            </w:tcBorders>
            <w:shd w:val="clear" w:color="auto" w:fill="auto"/>
            <w:noWrap/>
            <w:vAlign w:val="center"/>
            <w:hideMark/>
          </w:tcPr>
          <w:p w14:paraId="2FF20F23" w14:textId="77777777" w:rsidR="001B4ECB" w:rsidRPr="0077327B" w:rsidRDefault="001B4ECB" w:rsidP="0077327B">
            <w:pPr>
              <w:spacing w:after="0" w:line="240" w:lineRule="auto"/>
              <w:jc w:val="center"/>
              <w:rPr>
                <w:rFonts w:eastAsia="Times New Roman" w:cstheme="minorHAnsi"/>
                <w:b/>
                <w:bCs/>
                <w:sz w:val="18"/>
                <w:szCs w:val="18"/>
                <w:lang w:eastAsia="it-IT"/>
              </w:rPr>
            </w:pPr>
            <w:r w:rsidRPr="0077327B">
              <w:rPr>
                <w:rFonts w:eastAsia="Times New Roman" w:cstheme="minorHAnsi"/>
                <w:b/>
                <w:bCs/>
                <w:sz w:val="18"/>
                <w:szCs w:val="18"/>
                <w:lang w:eastAsia="it-IT"/>
              </w:rPr>
              <w:t>43,1</w:t>
            </w:r>
          </w:p>
        </w:tc>
        <w:tc>
          <w:tcPr>
            <w:tcW w:w="855" w:type="dxa"/>
            <w:tcBorders>
              <w:top w:val="nil"/>
              <w:left w:val="nil"/>
              <w:bottom w:val="single" w:sz="4" w:space="0" w:color="auto"/>
              <w:right w:val="single" w:sz="4" w:space="0" w:color="auto"/>
            </w:tcBorders>
            <w:shd w:val="clear" w:color="auto" w:fill="auto"/>
            <w:noWrap/>
            <w:vAlign w:val="center"/>
            <w:hideMark/>
          </w:tcPr>
          <w:p w14:paraId="743B8B07" w14:textId="77777777" w:rsidR="001B4ECB" w:rsidRPr="0077327B" w:rsidRDefault="001B4ECB" w:rsidP="0077327B">
            <w:pPr>
              <w:spacing w:after="0" w:line="240" w:lineRule="auto"/>
              <w:jc w:val="center"/>
              <w:rPr>
                <w:rFonts w:eastAsia="Times New Roman" w:cstheme="minorHAnsi"/>
                <w:b/>
                <w:bCs/>
                <w:sz w:val="18"/>
                <w:szCs w:val="18"/>
                <w:lang w:eastAsia="it-IT"/>
              </w:rPr>
            </w:pPr>
            <w:r w:rsidRPr="0077327B">
              <w:rPr>
                <w:rFonts w:eastAsia="Times New Roman" w:cstheme="minorHAnsi"/>
                <w:b/>
                <w:bCs/>
                <w:sz w:val="18"/>
                <w:szCs w:val="18"/>
                <w:lang w:eastAsia="it-IT"/>
              </w:rPr>
              <w:t>37,5</w:t>
            </w:r>
          </w:p>
        </w:tc>
        <w:tc>
          <w:tcPr>
            <w:tcW w:w="709" w:type="dxa"/>
            <w:tcBorders>
              <w:top w:val="nil"/>
              <w:left w:val="nil"/>
              <w:bottom w:val="single" w:sz="4" w:space="0" w:color="auto"/>
              <w:right w:val="single" w:sz="4" w:space="0" w:color="auto"/>
            </w:tcBorders>
            <w:shd w:val="clear" w:color="auto" w:fill="auto"/>
            <w:noWrap/>
            <w:vAlign w:val="center"/>
            <w:hideMark/>
          </w:tcPr>
          <w:p w14:paraId="2B51792A" w14:textId="77777777" w:rsidR="001B4ECB" w:rsidRPr="0077327B" w:rsidRDefault="001B4ECB" w:rsidP="0077327B">
            <w:pPr>
              <w:spacing w:after="0" w:line="240" w:lineRule="auto"/>
              <w:jc w:val="center"/>
              <w:rPr>
                <w:rFonts w:eastAsia="Times New Roman" w:cstheme="minorHAnsi"/>
                <w:b/>
                <w:bCs/>
                <w:sz w:val="18"/>
                <w:szCs w:val="18"/>
                <w:lang w:eastAsia="it-IT"/>
              </w:rPr>
            </w:pPr>
            <w:r w:rsidRPr="0077327B">
              <w:rPr>
                <w:rFonts w:eastAsia="Times New Roman" w:cstheme="minorHAnsi"/>
                <w:b/>
                <w:bCs/>
                <w:sz w:val="18"/>
                <w:szCs w:val="18"/>
                <w:lang w:eastAsia="it-IT"/>
              </w:rPr>
              <w:t>20,3</w:t>
            </w:r>
          </w:p>
        </w:tc>
      </w:tr>
    </w:tbl>
    <w:p w14:paraId="628B19A2" w14:textId="77777777" w:rsidR="00BB6E79" w:rsidRPr="00BB6E79" w:rsidRDefault="00BB6E79" w:rsidP="00BB6E79">
      <w:pPr>
        <w:spacing w:after="0" w:line="276" w:lineRule="auto"/>
        <w:jc w:val="both"/>
        <w:rPr>
          <w:rFonts w:eastAsia="Aptos" w:cstheme="minorHAnsi"/>
          <w:i/>
          <w:iCs/>
          <w:kern w:val="2"/>
          <w:sz w:val="18"/>
          <w:szCs w:val="18"/>
          <w14:ligatures w14:val="standardContextual"/>
        </w:rPr>
      </w:pPr>
      <w:r w:rsidRPr="00BB6E79">
        <w:rPr>
          <w:rFonts w:eastAsia="Aptos" w:cstheme="minorHAnsi"/>
          <w:i/>
          <w:iCs/>
          <w:kern w:val="2"/>
          <w:sz w:val="18"/>
          <w:szCs w:val="18"/>
          <w14:ligatures w14:val="standardContextual"/>
        </w:rPr>
        <w:t>Fonte: ISTAT, Censimento permanente</w:t>
      </w:r>
      <w:r>
        <w:rPr>
          <w:rFonts w:eastAsia="Aptos" w:cstheme="minorHAnsi"/>
          <w:i/>
          <w:iCs/>
          <w:kern w:val="2"/>
          <w:sz w:val="18"/>
          <w:szCs w:val="18"/>
          <w14:ligatures w14:val="standardContextual"/>
        </w:rPr>
        <w:t xml:space="preserve"> </w:t>
      </w:r>
      <w:r w:rsidRPr="00BB6E79">
        <w:rPr>
          <w:rFonts w:eastAsia="Aptos" w:cstheme="minorHAnsi"/>
          <w:i/>
          <w:iCs/>
          <w:kern w:val="2"/>
          <w:sz w:val="18"/>
          <w:szCs w:val="18"/>
          <w14:ligatures w14:val="standardContextual"/>
        </w:rPr>
        <w:t>delle imprese 2023: primi risultati</w:t>
      </w:r>
      <w:r>
        <w:rPr>
          <w:rFonts w:eastAsia="Aptos" w:cstheme="minorHAnsi"/>
          <w:i/>
          <w:iCs/>
          <w:kern w:val="2"/>
          <w:sz w:val="18"/>
          <w:szCs w:val="18"/>
          <w14:ligatures w14:val="standardContextual"/>
        </w:rPr>
        <w:t>, Novembre 2023</w:t>
      </w:r>
    </w:p>
    <w:p w14:paraId="46623C4B" w14:textId="2D2A6EB3" w:rsidR="00244EDE" w:rsidRDefault="00244EDE" w:rsidP="00B5555A">
      <w:pPr>
        <w:spacing w:after="0" w:line="240" w:lineRule="auto"/>
        <w:jc w:val="both"/>
        <w:rPr>
          <w:rFonts w:eastAsia="Aptos" w:cstheme="minorHAnsi"/>
          <w:kern w:val="2"/>
          <w:sz w:val="16"/>
          <w:szCs w:val="16"/>
          <w14:ligatures w14:val="standardContextual"/>
        </w:rPr>
      </w:pPr>
      <w:r w:rsidRPr="00AD3349">
        <w:rPr>
          <w:rFonts w:eastAsia="Aptos" w:cstheme="minorHAnsi"/>
          <w:kern w:val="2"/>
          <w:sz w:val="16"/>
          <w:szCs w:val="16"/>
          <w14:ligatures w14:val="standardContextual"/>
        </w:rPr>
        <w:t>[*] Ad esempio: tecnologie green</w:t>
      </w:r>
      <w:r w:rsidR="00A502C1" w:rsidRPr="00AD3349">
        <w:rPr>
          <w:rFonts w:eastAsia="Aptos" w:cstheme="minorHAnsi"/>
          <w:kern w:val="2"/>
          <w:sz w:val="16"/>
          <w:szCs w:val="16"/>
          <w14:ligatures w14:val="standardContextual"/>
        </w:rPr>
        <w:t xml:space="preserve">; </w:t>
      </w:r>
      <w:r w:rsidRPr="00AD3349">
        <w:rPr>
          <w:rFonts w:eastAsia="Aptos" w:cstheme="minorHAnsi"/>
          <w:kern w:val="2"/>
          <w:sz w:val="16"/>
          <w:szCs w:val="16"/>
          <w14:ligatures w14:val="standardContextual"/>
        </w:rPr>
        <w:t>[**] Ad esempio: personale, spese correnti, ecc.</w:t>
      </w:r>
    </w:p>
    <w:p w14:paraId="755636B0" w14:textId="425E68AA" w:rsidR="00B5555A" w:rsidRPr="00AD3349" w:rsidRDefault="00B5555A" w:rsidP="00013223">
      <w:pPr>
        <w:spacing w:after="120" w:line="240" w:lineRule="auto"/>
        <w:jc w:val="both"/>
        <w:rPr>
          <w:rFonts w:eastAsia="Aptos" w:cstheme="minorHAnsi"/>
          <w:kern w:val="2"/>
          <w:sz w:val="16"/>
          <w:szCs w:val="16"/>
          <w14:ligatures w14:val="standardContextual"/>
        </w:rPr>
      </w:pPr>
      <w:r>
        <w:rPr>
          <w:rFonts w:eastAsia="Aptos" w:cstheme="minorHAnsi"/>
          <w:kern w:val="2"/>
          <w:sz w:val="16"/>
          <w:szCs w:val="16"/>
          <w14:ligatures w14:val="standardContextual"/>
        </w:rPr>
        <w:t>Nota: per “Totale” si intendono tutte per imprese per settore/attività produttiva</w:t>
      </w:r>
    </w:p>
    <w:p w14:paraId="6734FEA3" w14:textId="77777777" w:rsidR="0036597B" w:rsidRDefault="00AB40E4" w:rsidP="00244EDE">
      <w:pPr>
        <w:spacing w:after="120" w:line="276" w:lineRule="auto"/>
        <w:jc w:val="both"/>
        <w:rPr>
          <w:rFonts w:eastAsia="Aptos" w:cstheme="minorHAnsi"/>
          <w:kern w:val="2"/>
          <w14:ligatures w14:val="standardContextual"/>
        </w:rPr>
      </w:pPr>
      <w:r>
        <w:rPr>
          <w:rFonts w:eastAsia="Aptos" w:cstheme="minorHAnsi"/>
          <w:kern w:val="2"/>
          <w14:ligatures w14:val="standardContextual"/>
        </w:rPr>
        <w:t>Relativamente alle richieste di nuovo credito (</w:t>
      </w:r>
      <w:proofErr w:type="spellStart"/>
      <w:r>
        <w:rPr>
          <w:rFonts w:eastAsia="Aptos" w:cstheme="minorHAnsi"/>
          <w:kern w:val="2"/>
          <w14:ligatures w14:val="standardContextual"/>
        </w:rPr>
        <w:t>Tab</w:t>
      </w:r>
      <w:proofErr w:type="spellEnd"/>
      <w:r>
        <w:rPr>
          <w:rFonts w:eastAsia="Aptos" w:cstheme="minorHAnsi"/>
          <w:kern w:val="2"/>
          <w14:ligatures w14:val="standardContextual"/>
        </w:rPr>
        <w:t xml:space="preserve">. </w:t>
      </w:r>
      <w:r w:rsidR="00A37B5E">
        <w:rPr>
          <w:rFonts w:eastAsia="Aptos" w:cstheme="minorHAnsi"/>
          <w:kern w:val="2"/>
          <w14:ligatures w14:val="standardContextual"/>
        </w:rPr>
        <w:t>6</w:t>
      </w:r>
      <w:r>
        <w:rPr>
          <w:rFonts w:eastAsia="Aptos" w:cstheme="minorHAnsi"/>
          <w:kern w:val="2"/>
          <w14:ligatures w14:val="standardContextual"/>
        </w:rPr>
        <w:t xml:space="preserve">) l’analisi realizzata ha evidenziato che </w:t>
      </w:r>
      <w:r w:rsidR="00D722CD" w:rsidRPr="00D722CD">
        <w:rPr>
          <w:rFonts w:eastAsia="Aptos" w:cstheme="minorHAnsi"/>
          <w:kern w:val="2"/>
          <w14:ligatures w14:val="standardContextual"/>
        </w:rPr>
        <w:t>quasi una impresa su quattro (24,0%) ha richiesto prestiti a banche o ad altri intermediari,</w:t>
      </w:r>
      <w:r>
        <w:rPr>
          <w:rFonts w:eastAsia="Aptos" w:cstheme="minorHAnsi"/>
          <w:kern w:val="2"/>
          <w14:ligatures w14:val="standardContextual"/>
        </w:rPr>
        <w:t xml:space="preserve"> (il 22,4% per l’area “Centro”)</w:t>
      </w:r>
      <w:r w:rsidR="00D722CD" w:rsidRPr="00D722CD">
        <w:rPr>
          <w:rFonts w:eastAsia="Aptos" w:cstheme="minorHAnsi"/>
          <w:kern w:val="2"/>
          <w14:ligatures w14:val="standardContextual"/>
        </w:rPr>
        <w:t xml:space="preserve"> </w:t>
      </w:r>
      <w:r>
        <w:rPr>
          <w:rFonts w:eastAsia="Aptos" w:cstheme="minorHAnsi"/>
          <w:kern w:val="2"/>
          <w14:ligatures w14:val="standardContextual"/>
        </w:rPr>
        <w:t xml:space="preserve">in particolare modo </w:t>
      </w:r>
      <w:r w:rsidR="00D722CD" w:rsidRPr="00D722CD">
        <w:rPr>
          <w:rFonts w:eastAsia="Aptos" w:cstheme="minorHAnsi"/>
          <w:kern w:val="2"/>
          <w14:ligatures w14:val="standardContextual"/>
        </w:rPr>
        <w:t>se di media (43,8%) o grande dimensione (40,8%)</w:t>
      </w:r>
      <w:r>
        <w:rPr>
          <w:rFonts w:eastAsia="Aptos" w:cstheme="minorHAnsi"/>
          <w:kern w:val="2"/>
          <w14:ligatures w14:val="standardContextual"/>
        </w:rPr>
        <w:t>.</w:t>
      </w:r>
      <w:r w:rsidR="000A345B">
        <w:rPr>
          <w:rFonts w:eastAsia="Aptos" w:cstheme="minorHAnsi"/>
          <w:kern w:val="2"/>
          <w14:ligatures w14:val="standardContextual"/>
        </w:rPr>
        <w:t xml:space="preserve"> La maggioranza delle imprese che ha richiesto un prestito ha dichiarato di averlo ricevuto per l’ammontare richiesto (84,4% a livello nazionale e 80,8% a per l’area del “Centro”) mentre circa il 10% (a livello nazionale e “Centro”) ha dichiarato di averlo ricevuto ma per un ammontare inferiore. Le imprese che hanno dichiarato di non averlo ricevuto sono il 3,5% (Italia) e il 6,8% (Centro).</w:t>
      </w:r>
      <w:r w:rsidR="003B4BF2">
        <w:rPr>
          <w:rFonts w:eastAsia="Aptos" w:cstheme="minorHAnsi"/>
          <w:kern w:val="2"/>
          <w14:ligatures w14:val="standardContextual"/>
        </w:rPr>
        <w:t xml:space="preserve"> </w:t>
      </w:r>
    </w:p>
    <w:p w14:paraId="2ACA21AE" w14:textId="2DDA1A81" w:rsidR="00244EDE" w:rsidRDefault="00D464AC" w:rsidP="00244EDE">
      <w:pPr>
        <w:spacing w:after="120" w:line="276" w:lineRule="auto"/>
        <w:jc w:val="both"/>
        <w:rPr>
          <w:rFonts w:eastAsia="Aptos" w:cstheme="minorHAnsi"/>
          <w:kern w:val="2"/>
          <w14:ligatures w14:val="standardContextual"/>
        </w:rPr>
      </w:pPr>
      <w:r>
        <w:rPr>
          <w:rFonts w:eastAsia="Aptos" w:cstheme="minorHAnsi"/>
          <w:kern w:val="2"/>
          <w14:ligatures w14:val="standardContextual"/>
        </w:rPr>
        <w:t xml:space="preserve">I prestiti richiesti per oltre la metà delle imprese (51,3% a livello nazionale e 53% per l’area “Centro”9 non era assistito da garanzia pubblica </w:t>
      </w:r>
      <w:r w:rsidR="00D722CD" w:rsidRPr="00D722CD">
        <w:rPr>
          <w:rFonts w:eastAsia="Aptos" w:cstheme="minorHAnsi"/>
          <w:kern w:val="2"/>
          <w14:ligatures w14:val="standardContextual"/>
        </w:rPr>
        <w:t>mentre</w:t>
      </w:r>
      <w:r>
        <w:rPr>
          <w:rFonts w:eastAsia="Aptos" w:cstheme="minorHAnsi"/>
          <w:kern w:val="2"/>
          <w14:ligatures w14:val="standardContextual"/>
        </w:rPr>
        <w:t xml:space="preserve"> lo era parzialmente per il </w:t>
      </w:r>
      <w:r w:rsidR="00D722CD" w:rsidRPr="00D722CD">
        <w:rPr>
          <w:rFonts w:eastAsia="Aptos" w:cstheme="minorHAnsi"/>
          <w:kern w:val="2"/>
          <w14:ligatures w14:val="standardContextual"/>
        </w:rPr>
        <w:t>31,1</w:t>
      </w:r>
      <w:proofErr w:type="gramStart"/>
      <w:r w:rsidR="00D722CD" w:rsidRPr="00D722CD">
        <w:rPr>
          <w:rFonts w:eastAsia="Aptos" w:cstheme="minorHAnsi"/>
          <w:kern w:val="2"/>
          <w14:ligatures w14:val="standardContextual"/>
        </w:rPr>
        <w:t xml:space="preserve">% </w:t>
      </w:r>
      <w:r>
        <w:rPr>
          <w:rFonts w:eastAsia="Aptos" w:cstheme="minorHAnsi"/>
          <w:kern w:val="2"/>
          <w14:ligatures w14:val="standardContextual"/>
        </w:rPr>
        <w:t xml:space="preserve"> a</w:t>
      </w:r>
      <w:proofErr w:type="gramEnd"/>
      <w:r>
        <w:rPr>
          <w:rFonts w:eastAsia="Aptos" w:cstheme="minorHAnsi"/>
          <w:kern w:val="2"/>
          <w14:ligatures w14:val="standardContextual"/>
        </w:rPr>
        <w:t xml:space="preserve"> livello nazionale e per il 29,5% per il “Centro”</w:t>
      </w:r>
      <w:r w:rsidR="00D722CD" w:rsidRPr="00D722CD">
        <w:rPr>
          <w:rFonts w:eastAsia="Aptos" w:cstheme="minorHAnsi"/>
          <w:kern w:val="2"/>
          <w14:ligatures w14:val="standardContextual"/>
        </w:rPr>
        <w:t>.</w:t>
      </w:r>
      <w:r w:rsidR="0036597B">
        <w:rPr>
          <w:rFonts w:eastAsia="Aptos" w:cstheme="minorHAnsi"/>
          <w:kern w:val="2"/>
          <w14:ligatures w14:val="standardContextual"/>
        </w:rPr>
        <w:t xml:space="preserve"> </w:t>
      </w:r>
      <w:r w:rsidR="00D722CD" w:rsidRPr="00D722CD">
        <w:rPr>
          <w:rFonts w:eastAsia="Aptos" w:cstheme="minorHAnsi"/>
          <w:kern w:val="2"/>
          <w14:ligatures w14:val="standardContextual"/>
        </w:rPr>
        <w:t>Nel 17,6% dei casi</w:t>
      </w:r>
      <w:r>
        <w:rPr>
          <w:rFonts w:eastAsia="Aptos" w:cstheme="minorHAnsi"/>
          <w:kern w:val="2"/>
          <w14:ligatures w14:val="standardContextual"/>
        </w:rPr>
        <w:t>, sia a livello nazionale che per l’area del “Centro”,</w:t>
      </w:r>
      <w:r w:rsidR="00D722CD" w:rsidRPr="00D722CD">
        <w:rPr>
          <w:rFonts w:eastAsia="Aptos" w:cstheme="minorHAnsi"/>
          <w:kern w:val="2"/>
          <w14:ligatures w14:val="standardContextual"/>
        </w:rPr>
        <w:t xml:space="preserve"> il prestito era invece totalmente assistito da garanzia pubblica</w:t>
      </w:r>
      <w:r>
        <w:rPr>
          <w:rFonts w:eastAsia="Aptos" w:cstheme="minorHAnsi"/>
          <w:kern w:val="2"/>
          <w14:ligatures w14:val="standardContextual"/>
        </w:rPr>
        <w:t>.</w:t>
      </w:r>
    </w:p>
    <w:p w14:paraId="7BE37F93" w14:textId="06F1B53B" w:rsidR="001B4ECB" w:rsidRPr="00A502C1" w:rsidRDefault="00A502C1" w:rsidP="001B4ECB">
      <w:pPr>
        <w:spacing w:after="0" w:line="240" w:lineRule="auto"/>
        <w:jc w:val="both"/>
        <w:rPr>
          <w:rFonts w:eastAsia="Aptos" w:cstheme="minorHAnsi"/>
          <w:i/>
          <w:iCs/>
          <w:kern w:val="2"/>
          <w:sz w:val="20"/>
          <w:szCs w:val="20"/>
          <w14:ligatures w14:val="standardContextual"/>
        </w:rPr>
      </w:pPr>
      <w:proofErr w:type="spellStart"/>
      <w:r w:rsidRPr="00A502C1">
        <w:rPr>
          <w:rFonts w:eastAsia="Aptos" w:cstheme="minorHAnsi"/>
          <w:i/>
          <w:iCs/>
          <w:kern w:val="2"/>
          <w:sz w:val="20"/>
          <w:szCs w:val="20"/>
          <w14:ligatures w14:val="standardContextual"/>
        </w:rPr>
        <w:t>Tab</w:t>
      </w:r>
      <w:proofErr w:type="spellEnd"/>
      <w:r w:rsidRPr="00A502C1">
        <w:rPr>
          <w:rFonts w:eastAsia="Aptos" w:cstheme="minorHAnsi"/>
          <w:i/>
          <w:iCs/>
          <w:kern w:val="2"/>
          <w:sz w:val="20"/>
          <w:szCs w:val="20"/>
          <w14:ligatures w14:val="standardContextual"/>
        </w:rPr>
        <w:t xml:space="preserve">. </w:t>
      </w:r>
      <w:r w:rsidR="00A37B5E">
        <w:rPr>
          <w:rFonts w:eastAsia="Aptos" w:cstheme="minorHAnsi"/>
          <w:i/>
          <w:iCs/>
          <w:kern w:val="2"/>
          <w:sz w:val="20"/>
          <w:szCs w:val="20"/>
          <w14:ligatures w14:val="standardContextual"/>
        </w:rPr>
        <w:t>6</w:t>
      </w:r>
      <w:r w:rsidRPr="00A502C1">
        <w:rPr>
          <w:rFonts w:eastAsia="Aptos" w:cstheme="minorHAnsi"/>
          <w:i/>
          <w:iCs/>
          <w:kern w:val="2"/>
          <w:sz w:val="20"/>
          <w:szCs w:val="20"/>
          <w14:ligatures w14:val="standardContextual"/>
        </w:rPr>
        <w:t xml:space="preserve"> </w:t>
      </w:r>
      <w:r w:rsidR="001B4ECB" w:rsidRPr="00A502C1">
        <w:rPr>
          <w:rFonts w:eastAsia="Aptos" w:cstheme="minorHAnsi"/>
          <w:i/>
          <w:iCs/>
          <w:kern w:val="2"/>
          <w:sz w:val="20"/>
          <w:szCs w:val="20"/>
          <w14:ligatures w14:val="standardContextual"/>
        </w:rPr>
        <w:t xml:space="preserve">Imprese che hanno richiesto prestiti a banche o altri intermediari per settore di attività economica, classe di addetti e ripartizione territoriale. Valori assoluti e percentuali </w:t>
      </w:r>
      <w:r w:rsidR="0077327B">
        <w:rPr>
          <w:rFonts w:eastAsia="Aptos" w:cstheme="minorHAnsi"/>
          <w:i/>
          <w:iCs/>
          <w:kern w:val="2"/>
          <w:sz w:val="20"/>
          <w:szCs w:val="20"/>
          <w14:ligatures w14:val="standardContextual"/>
        </w:rPr>
        <w:t>(</w:t>
      </w:r>
      <w:r w:rsidR="001B4ECB" w:rsidRPr="00A502C1">
        <w:rPr>
          <w:rFonts w:eastAsia="Aptos" w:cstheme="minorHAnsi"/>
          <w:i/>
          <w:iCs/>
          <w:kern w:val="2"/>
          <w:sz w:val="20"/>
          <w:szCs w:val="20"/>
          <w14:ligatures w14:val="standardContextual"/>
        </w:rPr>
        <w:t>2022</w:t>
      </w:r>
      <w:r w:rsidR="0077327B">
        <w:rPr>
          <w:rFonts w:eastAsia="Aptos" w:cstheme="minorHAnsi"/>
          <w:i/>
          <w:iCs/>
          <w:kern w:val="2"/>
          <w:sz w:val="20"/>
          <w:szCs w:val="20"/>
          <w14:ligatures w14:val="standardContextual"/>
        </w:rPr>
        <w:t>)</w:t>
      </w:r>
    </w:p>
    <w:tbl>
      <w:tblPr>
        <w:tblW w:w="9628" w:type="dxa"/>
        <w:tblCellMar>
          <w:left w:w="70" w:type="dxa"/>
          <w:right w:w="70" w:type="dxa"/>
        </w:tblCellMar>
        <w:tblLook w:val="04A0" w:firstRow="1" w:lastRow="0" w:firstColumn="1" w:lastColumn="0" w:noHBand="0" w:noVBand="1"/>
      </w:tblPr>
      <w:tblGrid>
        <w:gridCol w:w="846"/>
        <w:gridCol w:w="1417"/>
        <w:gridCol w:w="1134"/>
        <w:gridCol w:w="1134"/>
        <w:gridCol w:w="993"/>
        <w:gridCol w:w="708"/>
        <w:gridCol w:w="1418"/>
        <w:gridCol w:w="1134"/>
        <w:gridCol w:w="844"/>
      </w:tblGrid>
      <w:tr w:rsidR="001B4ECB" w:rsidRPr="00BB6E79" w14:paraId="3B22D49F" w14:textId="77777777" w:rsidTr="00B52243">
        <w:trPr>
          <w:trHeight w:val="588"/>
          <w:tblHeader/>
        </w:trPr>
        <w:tc>
          <w:tcPr>
            <w:tcW w:w="846" w:type="dxa"/>
            <w:vMerge w:val="restart"/>
            <w:tcBorders>
              <w:top w:val="single" w:sz="4" w:space="0" w:color="auto"/>
              <w:left w:val="single" w:sz="4" w:space="0" w:color="auto"/>
              <w:bottom w:val="single" w:sz="4" w:space="0" w:color="000000"/>
              <w:right w:val="single" w:sz="4" w:space="0" w:color="auto"/>
            </w:tcBorders>
            <w:shd w:val="clear" w:color="auto" w:fill="2F5496" w:themeFill="accent1" w:themeFillShade="BF"/>
            <w:vAlign w:val="center"/>
            <w:hideMark/>
          </w:tcPr>
          <w:p w14:paraId="42D2C167" w14:textId="77777777" w:rsidR="00B5555A" w:rsidRPr="0077327B" w:rsidRDefault="00B5555A" w:rsidP="00B5555A">
            <w:pPr>
              <w:spacing w:after="0" w:line="240" w:lineRule="auto"/>
              <w:rPr>
                <w:rFonts w:eastAsia="Times New Roman" w:cstheme="minorHAnsi"/>
                <w:b/>
                <w:bCs/>
                <w:color w:val="FFFFFF" w:themeColor="background1"/>
                <w:sz w:val="18"/>
                <w:szCs w:val="18"/>
                <w:lang w:eastAsia="it-IT"/>
              </w:rPr>
            </w:pPr>
            <w:proofErr w:type="spellStart"/>
            <w:r w:rsidRPr="0077327B">
              <w:rPr>
                <w:rFonts w:eastAsia="Times New Roman" w:cstheme="minorHAnsi"/>
                <w:b/>
                <w:bCs/>
                <w:color w:val="FFFFFF" w:themeColor="background1"/>
                <w:sz w:val="18"/>
                <w:szCs w:val="18"/>
                <w:lang w:eastAsia="it-IT"/>
              </w:rPr>
              <w:t>Dim</w:t>
            </w:r>
            <w:proofErr w:type="spellEnd"/>
            <w:r w:rsidRPr="0077327B">
              <w:rPr>
                <w:rFonts w:eastAsia="Times New Roman" w:cstheme="minorHAnsi"/>
                <w:b/>
                <w:bCs/>
                <w:color w:val="FFFFFF" w:themeColor="background1"/>
                <w:sz w:val="18"/>
                <w:szCs w:val="18"/>
                <w:lang w:eastAsia="it-IT"/>
              </w:rPr>
              <w:t>.</w:t>
            </w:r>
          </w:p>
          <w:p w14:paraId="63F84A46" w14:textId="2A527552" w:rsidR="001B4ECB" w:rsidRPr="001B4ECB" w:rsidRDefault="00B5555A" w:rsidP="00B5555A">
            <w:pPr>
              <w:spacing w:after="0" w:line="240" w:lineRule="auto"/>
              <w:rPr>
                <w:rFonts w:eastAsia="Times New Roman" w:cstheme="minorHAnsi"/>
                <w:b/>
                <w:bCs/>
                <w:color w:val="FFFFFF" w:themeColor="background1"/>
                <w:sz w:val="18"/>
                <w:szCs w:val="18"/>
                <w:lang w:eastAsia="it-IT"/>
              </w:rPr>
            </w:pPr>
            <w:r w:rsidRPr="0077327B">
              <w:rPr>
                <w:rFonts w:eastAsia="Times New Roman" w:cstheme="minorHAnsi"/>
                <w:b/>
                <w:bCs/>
                <w:color w:val="FFFFFF" w:themeColor="background1"/>
                <w:sz w:val="18"/>
                <w:szCs w:val="18"/>
                <w:lang w:eastAsia="it-IT"/>
              </w:rPr>
              <w:t>Area</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2F5496" w:themeFill="accent1" w:themeFillShade="BF"/>
            <w:vAlign w:val="center"/>
            <w:hideMark/>
          </w:tcPr>
          <w:p w14:paraId="47464615" w14:textId="77777777" w:rsidR="001B4ECB" w:rsidRPr="001B4ECB" w:rsidRDefault="001B4ECB" w:rsidP="001B4ECB">
            <w:pPr>
              <w:spacing w:after="0" w:line="240" w:lineRule="auto"/>
              <w:rPr>
                <w:rFonts w:eastAsia="Times New Roman" w:cstheme="minorHAnsi"/>
                <w:b/>
                <w:bCs/>
                <w:color w:val="FFFFFF" w:themeColor="background1"/>
                <w:sz w:val="18"/>
                <w:szCs w:val="18"/>
                <w:lang w:eastAsia="it-IT"/>
              </w:rPr>
            </w:pPr>
            <w:r w:rsidRPr="001B4ECB">
              <w:rPr>
                <w:rFonts w:eastAsia="Times New Roman" w:cstheme="minorHAnsi"/>
                <w:b/>
                <w:bCs/>
                <w:color w:val="FFFFFF" w:themeColor="background1"/>
                <w:sz w:val="18"/>
                <w:szCs w:val="18"/>
                <w:lang w:eastAsia="it-IT"/>
              </w:rPr>
              <w:t>Imprese che hanno richiesto prestiti a banche o altri intermediari</w:t>
            </w:r>
          </w:p>
        </w:tc>
        <w:tc>
          <w:tcPr>
            <w:tcW w:w="3969" w:type="dxa"/>
            <w:gridSpan w:val="4"/>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DFB679F" w14:textId="77777777" w:rsidR="001B4ECB" w:rsidRPr="001B4ECB" w:rsidRDefault="001B4ECB" w:rsidP="001B4ECB">
            <w:pPr>
              <w:spacing w:after="0" w:line="240" w:lineRule="auto"/>
              <w:jc w:val="center"/>
              <w:rPr>
                <w:rFonts w:eastAsia="Times New Roman" w:cstheme="minorHAnsi"/>
                <w:b/>
                <w:bCs/>
                <w:color w:val="FFFFFF" w:themeColor="background1"/>
                <w:sz w:val="18"/>
                <w:szCs w:val="18"/>
                <w:lang w:eastAsia="it-IT"/>
              </w:rPr>
            </w:pPr>
            <w:r w:rsidRPr="001B4ECB">
              <w:rPr>
                <w:rFonts w:eastAsia="Times New Roman" w:cstheme="minorHAnsi"/>
                <w:b/>
                <w:bCs/>
                <w:color w:val="FFFFFF" w:themeColor="background1"/>
                <w:sz w:val="18"/>
                <w:szCs w:val="18"/>
                <w:lang w:eastAsia="it-IT"/>
              </w:rPr>
              <w:t>L'impresa ha ottenuto il prestito richiesto:</w:t>
            </w:r>
          </w:p>
        </w:tc>
        <w:tc>
          <w:tcPr>
            <w:tcW w:w="3396" w:type="dxa"/>
            <w:gridSpan w:val="3"/>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60C3305A" w14:textId="77777777" w:rsidR="001B4ECB" w:rsidRPr="001B4ECB" w:rsidRDefault="001B4ECB" w:rsidP="001B4ECB">
            <w:pPr>
              <w:spacing w:after="0" w:line="240" w:lineRule="auto"/>
              <w:jc w:val="center"/>
              <w:rPr>
                <w:rFonts w:eastAsia="Times New Roman" w:cstheme="minorHAnsi"/>
                <w:b/>
                <w:bCs/>
                <w:color w:val="FFFFFF" w:themeColor="background1"/>
                <w:sz w:val="18"/>
                <w:szCs w:val="18"/>
                <w:lang w:eastAsia="it-IT"/>
              </w:rPr>
            </w:pPr>
            <w:r w:rsidRPr="001B4ECB">
              <w:rPr>
                <w:rFonts w:eastAsia="Times New Roman" w:cstheme="minorHAnsi"/>
                <w:b/>
                <w:bCs/>
                <w:color w:val="FFFFFF" w:themeColor="background1"/>
                <w:sz w:val="18"/>
                <w:szCs w:val="18"/>
                <w:lang w:eastAsia="it-IT"/>
              </w:rPr>
              <w:t>Il prestito era assistito da garanzia pubblica:</w:t>
            </w:r>
          </w:p>
        </w:tc>
      </w:tr>
      <w:tr w:rsidR="001B4ECB" w:rsidRPr="00BB6E79" w14:paraId="3A682155" w14:textId="77777777" w:rsidTr="00B52243">
        <w:trPr>
          <w:trHeight w:val="427"/>
          <w:tblHead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243AF21" w14:textId="77777777" w:rsidR="001B4ECB" w:rsidRPr="001B4ECB" w:rsidRDefault="001B4ECB" w:rsidP="001B4ECB">
            <w:pPr>
              <w:spacing w:after="0" w:line="240" w:lineRule="auto"/>
              <w:rPr>
                <w:rFonts w:eastAsia="Times New Roman" w:cstheme="minorHAnsi"/>
                <w:b/>
                <w:bCs/>
                <w:sz w:val="18"/>
                <w:szCs w:val="18"/>
                <w:lang w:eastAsia="it-IT"/>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9A256E3" w14:textId="77777777" w:rsidR="001B4ECB" w:rsidRPr="001B4ECB" w:rsidRDefault="001B4ECB" w:rsidP="001B4ECB">
            <w:pPr>
              <w:spacing w:after="0" w:line="240" w:lineRule="auto"/>
              <w:rPr>
                <w:rFonts w:eastAsia="Times New Roman" w:cstheme="minorHAnsi"/>
                <w:b/>
                <w:bCs/>
                <w:sz w:val="18"/>
                <w:szCs w:val="18"/>
                <w:lang w:eastAsia="it-IT"/>
              </w:rPr>
            </w:pPr>
          </w:p>
        </w:tc>
        <w:tc>
          <w:tcPr>
            <w:tcW w:w="1134" w:type="dxa"/>
            <w:tcBorders>
              <w:top w:val="nil"/>
              <w:left w:val="nil"/>
              <w:bottom w:val="single" w:sz="4" w:space="0" w:color="auto"/>
              <w:right w:val="single" w:sz="4" w:space="0" w:color="auto"/>
            </w:tcBorders>
            <w:shd w:val="clear" w:color="auto" w:fill="D9E2F3" w:themeFill="accent1" w:themeFillTint="33"/>
            <w:vAlign w:val="center"/>
            <w:hideMark/>
          </w:tcPr>
          <w:p w14:paraId="23EC0A66" w14:textId="77777777" w:rsidR="001B4ECB" w:rsidRPr="001B4ECB" w:rsidRDefault="001B4ECB" w:rsidP="001B4ECB">
            <w:pPr>
              <w:spacing w:after="0" w:line="240" w:lineRule="auto"/>
              <w:jc w:val="center"/>
              <w:rPr>
                <w:rFonts w:eastAsia="Times New Roman" w:cstheme="minorHAnsi"/>
                <w:b/>
                <w:bCs/>
                <w:sz w:val="18"/>
                <w:szCs w:val="18"/>
                <w:lang w:eastAsia="it-IT"/>
              </w:rPr>
            </w:pPr>
            <w:r w:rsidRPr="001B4ECB">
              <w:rPr>
                <w:rFonts w:eastAsia="Times New Roman" w:cstheme="minorHAnsi"/>
                <w:b/>
                <w:bCs/>
                <w:sz w:val="18"/>
                <w:szCs w:val="18"/>
                <w:lang w:eastAsia="it-IT"/>
              </w:rPr>
              <w:t>Sì, per l'ammontare richiesto</w:t>
            </w:r>
          </w:p>
        </w:tc>
        <w:tc>
          <w:tcPr>
            <w:tcW w:w="1134" w:type="dxa"/>
            <w:tcBorders>
              <w:top w:val="nil"/>
              <w:left w:val="nil"/>
              <w:bottom w:val="single" w:sz="4" w:space="0" w:color="auto"/>
              <w:right w:val="single" w:sz="4" w:space="0" w:color="auto"/>
            </w:tcBorders>
            <w:shd w:val="clear" w:color="auto" w:fill="D9E2F3" w:themeFill="accent1" w:themeFillTint="33"/>
            <w:vAlign w:val="center"/>
            <w:hideMark/>
          </w:tcPr>
          <w:p w14:paraId="3157ACEB" w14:textId="77777777" w:rsidR="001B4ECB" w:rsidRPr="001B4ECB" w:rsidRDefault="001B4ECB" w:rsidP="001B4ECB">
            <w:pPr>
              <w:spacing w:after="0" w:line="240" w:lineRule="auto"/>
              <w:jc w:val="center"/>
              <w:rPr>
                <w:rFonts w:eastAsia="Times New Roman" w:cstheme="minorHAnsi"/>
                <w:b/>
                <w:bCs/>
                <w:sz w:val="18"/>
                <w:szCs w:val="18"/>
                <w:lang w:eastAsia="it-IT"/>
              </w:rPr>
            </w:pPr>
            <w:r w:rsidRPr="001B4ECB">
              <w:rPr>
                <w:rFonts w:eastAsia="Times New Roman" w:cstheme="minorHAnsi"/>
                <w:b/>
                <w:bCs/>
                <w:sz w:val="18"/>
                <w:szCs w:val="18"/>
                <w:lang w:eastAsia="it-IT"/>
              </w:rPr>
              <w:t>Sì, ma per ammontare inferiore</w:t>
            </w:r>
          </w:p>
        </w:tc>
        <w:tc>
          <w:tcPr>
            <w:tcW w:w="993" w:type="dxa"/>
            <w:tcBorders>
              <w:top w:val="nil"/>
              <w:left w:val="nil"/>
              <w:bottom w:val="single" w:sz="4" w:space="0" w:color="auto"/>
              <w:right w:val="single" w:sz="4" w:space="0" w:color="auto"/>
            </w:tcBorders>
            <w:shd w:val="clear" w:color="auto" w:fill="D9E2F3" w:themeFill="accent1" w:themeFillTint="33"/>
            <w:vAlign w:val="center"/>
            <w:hideMark/>
          </w:tcPr>
          <w:p w14:paraId="0B918040" w14:textId="77777777" w:rsidR="001B4ECB" w:rsidRPr="001B4ECB" w:rsidRDefault="001B4ECB" w:rsidP="001B4ECB">
            <w:pPr>
              <w:spacing w:after="0" w:line="240" w:lineRule="auto"/>
              <w:jc w:val="center"/>
              <w:rPr>
                <w:rFonts w:eastAsia="Times New Roman" w:cstheme="minorHAnsi"/>
                <w:b/>
                <w:bCs/>
                <w:sz w:val="18"/>
                <w:szCs w:val="18"/>
                <w:lang w:eastAsia="it-IT"/>
              </w:rPr>
            </w:pPr>
            <w:r w:rsidRPr="001B4ECB">
              <w:rPr>
                <w:rFonts w:eastAsia="Times New Roman" w:cstheme="minorHAnsi"/>
                <w:b/>
                <w:bCs/>
                <w:sz w:val="18"/>
                <w:szCs w:val="18"/>
                <w:lang w:eastAsia="it-IT"/>
              </w:rPr>
              <w:t>Esito non ancora noto</w:t>
            </w:r>
          </w:p>
        </w:tc>
        <w:tc>
          <w:tcPr>
            <w:tcW w:w="708" w:type="dxa"/>
            <w:tcBorders>
              <w:top w:val="nil"/>
              <w:left w:val="nil"/>
              <w:bottom w:val="single" w:sz="4" w:space="0" w:color="auto"/>
              <w:right w:val="single" w:sz="4" w:space="0" w:color="auto"/>
            </w:tcBorders>
            <w:shd w:val="clear" w:color="auto" w:fill="D9E2F3" w:themeFill="accent1" w:themeFillTint="33"/>
            <w:vAlign w:val="center"/>
            <w:hideMark/>
          </w:tcPr>
          <w:p w14:paraId="67F1D8A9" w14:textId="77777777" w:rsidR="001B4ECB" w:rsidRPr="001B4ECB" w:rsidRDefault="001B4ECB" w:rsidP="001B4ECB">
            <w:pPr>
              <w:spacing w:after="0" w:line="240" w:lineRule="auto"/>
              <w:jc w:val="center"/>
              <w:rPr>
                <w:rFonts w:eastAsia="Times New Roman" w:cstheme="minorHAnsi"/>
                <w:b/>
                <w:bCs/>
                <w:sz w:val="18"/>
                <w:szCs w:val="18"/>
                <w:lang w:eastAsia="it-IT"/>
              </w:rPr>
            </w:pPr>
            <w:r w:rsidRPr="001B4ECB">
              <w:rPr>
                <w:rFonts w:eastAsia="Times New Roman" w:cstheme="minorHAnsi"/>
                <w:b/>
                <w:bCs/>
                <w:sz w:val="18"/>
                <w:szCs w:val="18"/>
                <w:lang w:eastAsia="it-IT"/>
              </w:rPr>
              <w:t>No</w:t>
            </w:r>
          </w:p>
        </w:tc>
        <w:tc>
          <w:tcPr>
            <w:tcW w:w="1418" w:type="dxa"/>
            <w:tcBorders>
              <w:top w:val="nil"/>
              <w:left w:val="nil"/>
              <w:bottom w:val="single" w:sz="4" w:space="0" w:color="auto"/>
              <w:right w:val="single" w:sz="4" w:space="0" w:color="auto"/>
            </w:tcBorders>
            <w:shd w:val="clear" w:color="auto" w:fill="D9E2F3" w:themeFill="accent1" w:themeFillTint="33"/>
            <w:vAlign w:val="center"/>
            <w:hideMark/>
          </w:tcPr>
          <w:p w14:paraId="4411BB30" w14:textId="77777777" w:rsidR="001B4ECB" w:rsidRPr="001B4ECB" w:rsidRDefault="001B4ECB" w:rsidP="001B4ECB">
            <w:pPr>
              <w:spacing w:after="0" w:line="240" w:lineRule="auto"/>
              <w:jc w:val="center"/>
              <w:rPr>
                <w:rFonts w:eastAsia="Times New Roman" w:cstheme="minorHAnsi"/>
                <w:b/>
                <w:bCs/>
                <w:sz w:val="18"/>
                <w:szCs w:val="18"/>
                <w:lang w:eastAsia="it-IT"/>
              </w:rPr>
            </w:pPr>
            <w:r w:rsidRPr="001B4ECB">
              <w:rPr>
                <w:rFonts w:eastAsia="Times New Roman" w:cstheme="minorHAnsi"/>
                <w:b/>
                <w:bCs/>
                <w:sz w:val="18"/>
                <w:szCs w:val="18"/>
                <w:lang w:eastAsia="it-IT"/>
              </w:rPr>
              <w:t>Sì, completamente</w:t>
            </w:r>
          </w:p>
        </w:tc>
        <w:tc>
          <w:tcPr>
            <w:tcW w:w="1134" w:type="dxa"/>
            <w:tcBorders>
              <w:top w:val="nil"/>
              <w:left w:val="nil"/>
              <w:bottom w:val="single" w:sz="4" w:space="0" w:color="auto"/>
              <w:right w:val="single" w:sz="4" w:space="0" w:color="auto"/>
            </w:tcBorders>
            <w:shd w:val="clear" w:color="auto" w:fill="D9E2F3" w:themeFill="accent1" w:themeFillTint="33"/>
            <w:vAlign w:val="center"/>
            <w:hideMark/>
          </w:tcPr>
          <w:p w14:paraId="7746FA93" w14:textId="77777777" w:rsidR="001B4ECB" w:rsidRPr="001B4ECB" w:rsidRDefault="001B4ECB" w:rsidP="001B4ECB">
            <w:pPr>
              <w:spacing w:after="0" w:line="240" w:lineRule="auto"/>
              <w:jc w:val="center"/>
              <w:rPr>
                <w:rFonts w:eastAsia="Times New Roman" w:cstheme="minorHAnsi"/>
                <w:b/>
                <w:bCs/>
                <w:sz w:val="18"/>
                <w:szCs w:val="18"/>
                <w:lang w:eastAsia="it-IT"/>
              </w:rPr>
            </w:pPr>
            <w:r w:rsidRPr="001B4ECB">
              <w:rPr>
                <w:rFonts w:eastAsia="Times New Roman" w:cstheme="minorHAnsi"/>
                <w:b/>
                <w:bCs/>
                <w:sz w:val="18"/>
                <w:szCs w:val="18"/>
                <w:lang w:eastAsia="it-IT"/>
              </w:rPr>
              <w:t>Sì, parzialmente</w:t>
            </w:r>
          </w:p>
        </w:tc>
        <w:tc>
          <w:tcPr>
            <w:tcW w:w="844" w:type="dxa"/>
            <w:tcBorders>
              <w:top w:val="nil"/>
              <w:left w:val="nil"/>
              <w:bottom w:val="single" w:sz="4" w:space="0" w:color="auto"/>
              <w:right w:val="single" w:sz="4" w:space="0" w:color="auto"/>
            </w:tcBorders>
            <w:shd w:val="clear" w:color="auto" w:fill="D9E2F3" w:themeFill="accent1" w:themeFillTint="33"/>
            <w:vAlign w:val="center"/>
            <w:hideMark/>
          </w:tcPr>
          <w:p w14:paraId="7907C6F2" w14:textId="77777777" w:rsidR="001B4ECB" w:rsidRPr="001B4ECB" w:rsidRDefault="001B4ECB" w:rsidP="001B4ECB">
            <w:pPr>
              <w:spacing w:after="0" w:line="240" w:lineRule="auto"/>
              <w:jc w:val="center"/>
              <w:rPr>
                <w:rFonts w:eastAsia="Times New Roman" w:cstheme="minorHAnsi"/>
                <w:b/>
                <w:bCs/>
                <w:sz w:val="18"/>
                <w:szCs w:val="18"/>
                <w:lang w:eastAsia="it-IT"/>
              </w:rPr>
            </w:pPr>
            <w:r w:rsidRPr="001B4ECB">
              <w:rPr>
                <w:rFonts w:eastAsia="Times New Roman" w:cstheme="minorHAnsi"/>
                <w:b/>
                <w:bCs/>
                <w:sz w:val="18"/>
                <w:szCs w:val="18"/>
                <w:lang w:eastAsia="it-IT"/>
              </w:rPr>
              <w:t>No</w:t>
            </w:r>
          </w:p>
        </w:tc>
      </w:tr>
      <w:tr w:rsidR="00B5555A" w:rsidRPr="001B4ECB" w14:paraId="36513E9D"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0E701E86" w14:textId="7B1F3132" w:rsidR="00B5555A" w:rsidRPr="00B5555A" w:rsidRDefault="00B5555A" w:rsidP="00B5555A">
            <w:pPr>
              <w:spacing w:after="0" w:line="240" w:lineRule="auto"/>
              <w:rPr>
                <w:rFonts w:eastAsia="Times New Roman" w:cstheme="minorHAnsi"/>
                <w:sz w:val="18"/>
                <w:szCs w:val="18"/>
                <w:lang w:eastAsia="it-IT"/>
              </w:rPr>
            </w:pPr>
            <w:r w:rsidRPr="00B5555A">
              <w:rPr>
                <w:rFonts w:cstheme="minorHAnsi"/>
                <w:sz w:val="18"/>
                <w:szCs w:val="18"/>
              </w:rPr>
              <w:t>3-9</w:t>
            </w:r>
          </w:p>
        </w:tc>
        <w:tc>
          <w:tcPr>
            <w:tcW w:w="1417" w:type="dxa"/>
            <w:tcBorders>
              <w:top w:val="nil"/>
              <w:left w:val="nil"/>
              <w:bottom w:val="single" w:sz="4" w:space="0" w:color="auto"/>
              <w:right w:val="single" w:sz="4" w:space="0" w:color="auto"/>
            </w:tcBorders>
            <w:shd w:val="clear" w:color="auto" w:fill="auto"/>
            <w:noWrap/>
            <w:vAlign w:val="center"/>
          </w:tcPr>
          <w:p w14:paraId="7E4FBD4A" w14:textId="76AF38EE"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20,4</w:t>
            </w:r>
          </w:p>
        </w:tc>
        <w:tc>
          <w:tcPr>
            <w:tcW w:w="1134" w:type="dxa"/>
            <w:tcBorders>
              <w:top w:val="nil"/>
              <w:left w:val="nil"/>
              <w:bottom w:val="single" w:sz="4" w:space="0" w:color="auto"/>
              <w:right w:val="single" w:sz="4" w:space="0" w:color="auto"/>
            </w:tcBorders>
            <w:shd w:val="clear" w:color="auto" w:fill="auto"/>
            <w:noWrap/>
            <w:vAlign w:val="center"/>
          </w:tcPr>
          <w:p w14:paraId="541DAC14" w14:textId="3B2806B6"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82,0</w:t>
            </w:r>
          </w:p>
        </w:tc>
        <w:tc>
          <w:tcPr>
            <w:tcW w:w="1134" w:type="dxa"/>
            <w:tcBorders>
              <w:top w:val="nil"/>
              <w:left w:val="nil"/>
              <w:bottom w:val="single" w:sz="4" w:space="0" w:color="auto"/>
              <w:right w:val="single" w:sz="4" w:space="0" w:color="auto"/>
            </w:tcBorders>
            <w:shd w:val="clear" w:color="auto" w:fill="auto"/>
            <w:noWrap/>
            <w:vAlign w:val="center"/>
          </w:tcPr>
          <w:p w14:paraId="115F6032" w14:textId="09963E86"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10,7</w:t>
            </w:r>
          </w:p>
        </w:tc>
        <w:tc>
          <w:tcPr>
            <w:tcW w:w="993" w:type="dxa"/>
            <w:tcBorders>
              <w:top w:val="nil"/>
              <w:left w:val="nil"/>
              <w:bottom w:val="single" w:sz="4" w:space="0" w:color="auto"/>
              <w:right w:val="single" w:sz="4" w:space="0" w:color="auto"/>
            </w:tcBorders>
            <w:shd w:val="clear" w:color="auto" w:fill="auto"/>
            <w:noWrap/>
            <w:vAlign w:val="center"/>
          </w:tcPr>
          <w:p w14:paraId="12FA2B58" w14:textId="63E95C51"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2,7</w:t>
            </w:r>
          </w:p>
        </w:tc>
        <w:tc>
          <w:tcPr>
            <w:tcW w:w="708" w:type="dxa"/>
            <w:tcBorders>
              <w:top w:val="nil"/>
              <w:left w:val="nil"/>
              <w:bottom w:val="single" w:sz="4" w:space="0" w:color="auto"/>
              <w:right w:val="single" w:sz="4" w:space="0" w:color="auto"/>
            </w:tcBorders>
            <w:shd w:val="clear" w:color="auto" w:fill="auto"/>
            <w:noWrap/>
            <w:vAlign w:val="center"/>
          </w:tcPr>
          <w:p w14:paraId="225D85E5" w14:textId="0A876DC4"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4,6</w:t>
            </w:r>
          </w:p>
        </w:tc>
        <w:tc>
          <w:tcPr>
            <w:tcW w:w="1418" w:type="dxa"/>
            <w:tcBorders>
              <w:top w:val="nil"/>
              <w:left w:val="nil"/>
              <w:bottom w:val="single" w:sz="4" w:space="0" w:color="auto"/>
              <w:right w:val="single" w:sz="4" w:space="0" w:color="auto"/>
            </w:tcBorders>
            <w:shd w:val="clear" w:color="auto" w:fill="auto"/>
            <w:noWrap/>
            <w:vAlign w:val="center"/>
          </w:tcPr>
          <w:p w14:paraId="78E65B22" w14:textId="088A9F9E"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19,4</w:t>
            </w:r>
          </w:p>
        </w:tc>
        <w:tc>
          <w:tcPr>
            <w:tcW w:w="1134" w:type="dxa"/>
            <w:tcBorders>
              <w:top w:val="nil"/>
              <w:left w:val="nil"/>
              <w:bottom w:val="single" w:sz="4" w:space="0" w:color="auto"/>
              <w:right w:val="single" w:sz="4" w:space="0" w:color="auto"/>
            </w:tcBorders>
            <w:shd w:val="clear" w:color="auto" w:fill="auto"/>
            <w:noWrap/>
            <w:vAlign w:val="center"/>
          </w:tcPr>
          <w:p w14:paraId="3843295A" w14:textId="491A38B4"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27,3</w:t>
            </w:r>
          </w:p>
        </w:tc>
        <w:tc>
          <w:tcPr>
            <w:tcW w:w="844" w:type="dxa"/>
            <w:tcBorders>
              <w:top w:val="nil"/>
              <w:left w:val="nil"/>
              <w:bottom w:val="single" w:sz="4" w:space="0" w:color="auto"/>
              <w:right w:val="single" w:sz="4" w:space="0" w:color="auto"/>
            </w:tcBorders>
            <w:shd w:val="clear" w:color="auto" w:fill="auto"/>
            <w:noWrap/>
            <w:vAlign w:val="center"/>
          </w:tcPr>
          <w:p w14:paraId="0396413C" w14:textId="0DFE3619"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53,2</w:t>
            </w:r>
          </w:p>
        </w:tc>
      </w:tr>
      <w:tr w:rsidR="00B5555A" w:rsidRPr="001B4ECB" w14:paraId="0C96AB60"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20A1C15F" w14:textId="6C6E155A" w:rsidR="00B5555A" w:rsidRPr="00B5555A" w:rsidRDefault="00B5555A" w:rsidP="00B5555A">
            <w:pPr>
              <w:spacing w:after="0" w:line="240" w:lineRule="auto"/>
              <w:rPr>
                <w:rFonts w:eastAsia="Times New Roman" w:cstheme="minorHAnsi"/>
                <w:sz w:val="18"/>
                <w:szCs w:val="18"/>
                <w:lang w:eastAsia="it-IT"/>
              </w:rPr>
            </w:pPr>
            <w:r w:rsidRPr="00B5555A">
              <w:rPr>
                <w:rFonts w:cstheme="minorHAnsi"/>
                <w:sz w:val="18"/>
                <w:szCs w:val="18"/>
              </w:rPr>
              <w:t>10-19</w:t>
            </w:r>
          </w:p>
        </w:tc>
        <w:tc>
          <w:tcPr>
            <w:tcW w:w="1417" w:type="dxa"/>
            <w:tcBorders>
              <w:top w:val="nil"/>
              <w:left w:val="nil"/>
              <w:bottom w:val="single" w:sz="4" w:space="0" w:color="auto"/>
              <w:right w:val="single" w:sz="4" w:space="0" w:color="auto"/>
            </w:tcBorders>
            <w:shd w:val="clear" w:color="auto" w:fill="auto"/>
            <w:noWrap/>
            <w:vAlign w:val="center"/>
          </w:tcPr>
          <w:p w14:paraId="788414DA" w14:textId="56360758"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34,5</w:t>
            </w:r>
          </w:p>
        </w:tc>
        <w:tc>
          <w:tcPr>
            <w:tcW w:w="1134" w:type="dxa"/>
            <w:tcBorders>
              <w:top w:val="nil"/>
              <w:left w:val="nil"/>
              <w:bottom w:val="single" w:sz="4" w:space="0" w:color="auto"/>
              <w:right w:val="single" w:sz="4" w:space="0" w:color="auto"/>
            </w:tcBorders>
            <w:shd w:val="clear" w:color="auto" w:fill="auto"/>
            <w:noWrap/>
            <w:vAlign w:val="center"/>
          </w:tcPr>
          <w:p w14:paraId="7E20EA00" w14:textId="71C4994D"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89,3</w:t>
            </w:r>
          </w:p>
        </w:tc>
        <w:tc>
          <w:tcPr>
            <w:tcW w:w="1134" w:type="dxa"/>
            <w:tcBorders>
              <w:top w:val="nil"/>
              <w:left w:val="nil"/>
              <w:bottom w:val="single" w:sz="4" w:space="0" w:color="auto"/>
              <w:right w:val="single" w:sz="4" w:space="0" w:color="auto"/>
            </w:tcBorders>
            <w:shd w:val="clear" w:color="auto" w:fill="auto"/>
            <w:noWrap/>
            <w:vAlign w:val="center"/>
          </w:tcPr>
          <w:p w14:paraId="4FBDF71D" w14:textId="1E3A131D"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7,3</w:t>
            </w:r>
          </w:p>
        </w:tc>
        <w:tc>
          <w:tcPr>
            <w:tcW w:w="993" w:type="dxa"/>
            <w:tcBorders>
              <w:top w:val="nil"/>
              <w:left w:val="nil"/>
              <w:bottom w:val="single" w:sz="4" w:space="0" w:color="auto"/>
              <w:right w:val="single" w:sz="4" w:space="0" w:color="auto"/>
            </w:tcBorders>
            <w:shd w:val="clear" w:color="auto" w:fill="auto"/>
            <w:noWrap/>
            <w:vAlign w:val="center"/>
          </w:tcPr>
          <w:p w14:paraId="45BDE9C7" w14:textId="34FC07FE"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2,2</w:t>
            </w:r>
          </w:p>
        </w:tc>
        <w:tc>
          <w:tcPr>
            <w:tcW w:w="708" w:type="dxa"/>
            <w:tcBorders>
              <w:top w:val="nil"/>
              <w:left w:val="nil"/>
              <w:bottom w:val="single" w:sz="4" w:space="0" w:color="auto"/>
              <w:right w:val="single" w:sz="4" w:space="0" w:color="auto"/>
            </w:tcBorders>
            <w:shd w:val="clear" w:color="auto" w:fill="auto"/>
            <w:noWrap/>
            <w:vAlign w:val="center"/>
          </w:tcPr>
          <w:p w14:paraId="21BE53C2" w14:textId="43CB678D"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1,2</w:t>
            </w:r>
          </w:p>
        </w:tc>
        <w:tc>
          <w:tcPr>
            <w:tcW w:w="1418" w:type="dxa"/>
            <w:tcBorders>
              <w:top w:val="nil"/>
              <w:left w:val="nil"/>
              <w:bottom w:val="single" w:sz="4" w:space="0" w:color="auto"/>
              <w:right w:val="single" w:sz="4" w:space="0" w:color="auto"/>
            </w:tcBorders>
            <w:shd w:val="clear" w:color="auto" w:fill="auto"/>
            <w:noWrap/>
            <w:vAlign w:val="center"/>
          </w:tcPr>
          <w:p w14:paraId="1D9FF280" w14:textId="6D50629D"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14,5</w:t>
            </w:r>
          </w:p>
        </w:tc>
        <w:tc>
          <w:tcPr>
            <w:tcW w:w="1134" w:type="dxa"/>
            <w:tcBorders>
              <w:top w:val="nil"/>
              <w:left w:val="nil"/>
              <w:bottom w:val="single" w:sz="4" w:space="0" w:color="auto"/>
              <w:right w:val="single" w:sz="4" w:space="0" w:color="auto"/>
            </w:tcBorders>
            <w:shd w:val="clear" w:color="auto" w:fill="auto"/>
            <w:noWrap/>
            <w:vAlign w:val="center"/>
          </w:tcPr>
          <w:p w14:paraId="1C26D4BF" w14:textId="3FE40B6F"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37,4</w:t>
            </w:r>
          </w:p>
        </w:tc>
        <w:tc>
          <w:tcPr>
            <w:tcW w:w="844" w:type="dxa"/>
            <w:tcBorders>
              <w:top w:val="nil"/>
              <w:left w:val="nil"/>
              <w:bottom w:val="single" w:sz="4" w:space="0" w:color="auto"/>
              <w:right w:val="single" w:sz="4" w:space="0" w:color="auto"/>
            </w:tcBorders>
            <w:shd w:val="clear" w:color="auto" w:fill="auto"/>
            <w:noWrap/>
            <w:vAlign w:val="center"/>
          </w:tcPr>
          <w:p w14:paraId="18BC585D" w14:textId="2A977878"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48,1</w:t>
            </w:r>
          </w:p>
        </w:tc>
      </w:tr>
      <w:tr w:rsidR="00B5555A" w:rsidRPr="001B4ECB" w14:paraId="25F7E07C"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12E0EFB0" w14:textId="0FF55097" w:rsidR="00B5555A" w:rsidRPr="00B5555A" w:rsidRDefault="00B5555A" w:rsidP="00B5555A">
            <w:pPr>
              <w:spacing w:after="0" w:line="240" w:lineRule="auto"/>
              <w:rPr>
                <w:rFonts w:eastAsia="Times New Roman" w:cstheme="minorHAnsi"/>
                <w:sz w:val="18"/>
                <w:szCs w:val="18"/>
                <w:lang w:eastAsia="it-IT"/>
              </w:rPr>
            </w:pPr>
            <w:r w:rsidRPr="00B5555A">
              <w:rPr>
                <w:rFonts w:cstheme="minorHAnsi"/>
                <w:sz w:val="18"/>
                <w:szCs w:val="18"/>
              </w:rPr>
              <w:t>20-49</w:t>
            </w:r>
          </w:p>
        </w:tc>
        <w:tc>
          <w:tcPr>
            <w:tcW w:w="1417" w:type="dxa"/>
            <w:tcBorders>
              <w:top w:val="nil"/>
              <w:left w:val="nil"/>
              <w:bottom w:val="single" w:sz="4" w:space="0" w:color="auto"/>
              <w:right w:val="single" w:sz="4" w:space="0" w:color="auto"/>
            </w:tcBorders>
            <w:shd w:val="clear" w:color="auto" w:fill="auto"/>
            <w:noWrap/>
            <w:vAlign w:val="center"/>
          </w:tcPr>
          <w:p w14:paraId="5A57F9E5" w14:textId="51215EC9"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41,4</w:t>
            </w:r>
          </w:p>
        </w:tc>
        <w:tc>
          <w:tcPr>
            <w:tcW w:w="1134" w:type="dxa"/>
            <w:tcBorders>
              <w:top w:val="nil"/>
              <w:left w:val="nil"/>
              <w:bottom w:val="single" w:sz="4" w:space="0" w:color="auto"/>
              <w:right w:val="single" w:sz="4" w:space="0" w:color="auto"/>
            </w:tcBorders>
            <w:shd w:val="clear" w:color="auto" w:fill="auto"/>
            <w:noWrap/>
            <w:vAlign w:val="center"/>
          </w:tcPr>
          <w:p w14:paraId="7C1AA08D" w14:textId="083E2C20"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89,0</w:t>
            </w:r>
          </w:p>
        </w:tc>
        <w:tc>
          <w:tcPr>
            <w:tcW w:w="1134" w:type="dxa"/>
            <w:tcBorders>
              <w:top w:val="nil"/>
              <w:left w:val="nil"/>
              <w:bottom w:val="single" w:sz="4" w:space="0" w:color="auto"/>
              <w:right w:val="single" w:sz="4" w:space="0" w:color="auto"/>
            </w:tcBorders>
            <w:shd w:val="clear" w:color="auto" w:fill="auto"/>
            <w:noWrap/>
            <w:vAlign w:val="center"/>
          </w:tcPr>
          <w:p w14:paraId="248E43AD" w14:textId="542F78B4"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7,3</w:t>
            </w:r>
          </w:p>
        </w:tc>
        <w:tc>
          <w:tcPr>
            <w:tcW w:w="993" w:type="dxa"/>
            <w:tcBorders>
              <w:top w:val="nil"/>
              <w:left w:val="nil"/>
              <w:bottom w:val="single" w:sz="4" w:space="0" w:color="auto"/>
              <w:right w:val="single" w:sz="4" w:space="0" w:color="auto"/>
            </w:tcBorders>
            <w:shd w:val="clear" w:color="auto" w:fill="auto"/>
            <w:noWrap/>
            <w:vAlign w:val="center"/>
          </w:tcPr>
          <w:p w14:paraId="00C70078" w14:textId="3C366A42"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2,3</w:t>
            </w:r>
          </w:p>
        </w:tc>
        <w:tc>
          <w:tcPr>
            <w:tcW w:w="708" w:type="dxa"/>
            <w:tcBorders>
              <w:top w:val="nil"/>
              <w:left w:val="nil"/>
              <w:bottom w:val="single" w:sz="4" w:space="0" w:color="auto"/>
              <w:right w:val="single" w:sz="4" w:space="0" w:color="auto"/>
            </w:tcBorders>
            <w:shd w:val="clear" w:color="auto" w:fill="auto"/>
            <w:noWrap/>
            <w:vAlign w:val="center"/>
          </w:tcPr>
          <w:p w14:paraId="6D69AD0B" w14:textId="0E9729CA"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1,4</w:t>
            </w:r>
          </w:p>
        </w:tc>
        <w:tc>
          <w:tcPr>
            <w:tcW w:w="1418" w:type="dxa"/>
            <w:tcBorders>
              <w:top w:val="nil"/>
              <w:left w:val="nil"/>
              <w:bottom w:val="single" w:sz="4" w:space="0" w:color="auto"/>
              <w:right w:val="single" w:sz="4" w:space="0" w:color="auto"/>
            </w:tcBorders>
            <w:shd w:val="clear" w:color="auto" w:fill="auto"/>
            <w:noWrap/>
            <w:vAlign w:val="center"/>
          </w:tcPr>
          <w:p w14:paraId="0A207AB5" w14:textId="582AEC9E"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14,1</w:t>
            </w:r>
          </w:p>
        </w:tc>
        <w:tc>
          <w:tcPr>
            <w:tcW w:w="1134" w:type="dxa"/>
            <w:tcBorders>
              <w:top w:val="nil"/>
              <w:left w:val="nil"/>
              <w:bottom w:val="single" w:sz="4" w:space="0" w:color="auto"/>
              <w:right w:val="single" w:sz="4" w:space="0" w:color="auto"/>
            </w:tcBorders>
            <w:shd w:val="clear" w:color="auto" w:fill="auto"/>
            <w:noWrap/>
            <w:vAlign w:val="center"/>
          </w:tcPr>
          <w:p w14:paraId="1B102C93" w14:textId="01C4591F"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41,6</w:t>
            </w:r>
          </w:p>
        </w:tc>
        <w:tc>
          <w:tcPr>
            <w:tcW w:w="844" w:type="dxa"/>
            <w:tcBorders>
              <w:top w:val="nil"/>
              <w:left w:val="nil"/>
              <w:bottom w:val="single" w:sz="4" w:space="0" w:color="auto"/>
              <w:right w:val="single" w:sz="4" w:space="0" w:color="auto"/>
            </w:tcBorders>
            <w:shd w:val="clear" w:color="auto" w:fill="auto"/>
            <w:noWrap/>
            <w:vAlign w:val="center"/>
          </w:tcPr>
          <w:p w14:paraId="568ACD6E" w14:textId="649BA711"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44,3</w:t>
            </w:r>
          </w:p>
        </w:tc>
      </w:tr>
      <w:tr w:rsidR="00B5555A" w:rsidRPr="001B4ECB" w14:paraId="7E9CBCF2"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4236771A" w14:textId="426528D8" w:rsidR="00B5555A" w:rsidRPr="00B5555A" w:rsidRDefault="00B5555A" w:rsidP="00B5555A">
            <w:pPr>
              <w:spacing w:after="0" w:line="240" w:lineRule="auto"/>
              <w:rPr>
                <w:rFonts w:eastAsia="Times New Roman" w:cstheme="minorHAnsi"/>
                <w:sz w:val="18"/>
                <w:szCs w:val="18"/>
                <w:lang w:eastAsia="it-IT"/>
              </w:rPr>
            </w:pPr>
            <w:r w:rsidRPr="00B5555A">
              <w:rPr>
                <w:rFonts w:cstheme="minorHAnsi"/>
                <w:sz w:val="18"/>
                <w:szCs w:val="18"/>
              </w:rPr>
              <w:t>50-99</w:t>
            </w:r>
          </w:p>
        </w:tc>
        <w:tc>
          <w:tcPr>
            <w:tcW w:w="1417" w:type="dxa"/>
            <w:tcBorders>
              <w:top w:val="nil"/>
              <w:left w:val="nil"/>
              <w:bottom w:val="single" w:sz="4" w:space="0" w:color="auto"/>
              <w:right w:val="single" w:sz="4" w:space="0" w:color="auto"/>
            </w:tcBorders>
            <w:shd w:val="clear" w:color="auto" w:fill="auto"/>
            <w:noWrap/>
            <w:vAlign w:val="center"/>
          </w:tcPr>
          <w:p w14:paraId="3E83EC20" w14:textId="3DDCC601"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43,9</w:t>
            </w:r>
          </w:p>
        </w:tc>
        <w:tc>
          <w:tcPr>
            <w:tcW w:w="1134" w:type="dxa"/>
            <w:tcBorders>
              <w:top w:val="nil"/>
              <w:left w:val="nil"/>
              <w:bottom w:val="single" w:sz="4" w:space="0" w:color="auto"/>
              <w:right w:val="single" w:sz="4" w:space="0" w:color="auto"/>
            </w:tcBorders>
            <w:shd w:val="clear" w:color="auto" w:fill="auto"/>
            <w:noWrap/>
            <w:vAlign w:val="center"/>
          </w:tcPr>
          <w:p w14:paraId="66064CA2" w14:textId="59A4DE8B"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90,7</w:t>
            </w:r>
          </w:p>
        </w:tc>
        <w:tc>
          <w:tcPr>
            <w:tcW w:w="1134" w:type="dxa"/>
            <w:tcBorders>
              <w:top w:val="nil"/>
              <w:left w:val="nil"/>
              <w:bottom w:val="single" w:sz="4" w:space="0" w:color="auto"/>
              <w:right w:val="single" w:sz="4" w:space="0" w:color="auto"/>
            </w:tcBorders>
            <w:shd w:val="clear" w:color="auto" w:fill="auto"/>
            <w:noWrap/>
            <w:vAlign w:val="center"/>
          </w:tcPr>
          <w:p w14:paraId="1AB6C7DC" w14:textId="24FA4D98"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6,1</w:t>
            </w:r>
          </w:p>
        </w:tc>
        <w:tc>
          <w:tcPr>
            <w:tcW w:w="993" w:type="dxa"/>
            <w:tcBorders>
              <w:top w:val="nil"/>
              <w:left w:val="nil"/>
              <w:bottom w:val="single" w:sz="4" w:space="0" w:color="auto"/>
              <w:right w:val="single" w:sz="4" w:space="0" w:color="auto"/>
            </w:tcBorders>
            <w:shd w:val="clear" w:color="auto" w:fill="auto"/>
            <w:noWrap/>
            <w:vAlign w:val="center"/>
          </w:tcPr>
          <w:p w14:paraId="711DF0B3" w14:textId="317F848E"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2,0</w:t>
            </w:r>
          </w:p>
        </w:tc>
        <w:tc>
          <w:tcPr>
            <w:tcW w:w="708" w:type="dxa"/>
            <w:tcBorders>
              <w:top w:val="nil"/>
              <w:left w:val="nil"/>
              <w:bottom w:val="single" w:sz="4" w:space="0" w:color="auto"/>
              <w:right w:val="single" w:sz="4" w:space="0" w:color="auto"/>
            </w:tcBorders>
            <w:shd w:val="clear" w:color="auto" w:fill="auto"/>
            <w:noWrap/>
            <w:vAlign w:val="center"/>
          </w:tcPr>
          <w:p w14:paraId="24A8028F" w14:textId="040D083E"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1,2</w:t>
            </w:r>
          </w:p>
        </w:tc>
        <w:tc>
          <w:tcPr>
            <w:tcW w:w="1418" w:type="dxa"/>
            <w:tcBorders>
              <w:top w:val="nil"/>
              <w:left w:val="nil"/>
              <w:bottom w:val="single" w:sz="4" w:space="0" w:color="auto"/>
              <w:right w:val="single" w:sz="4" w:space="0" w:color="auto"/>
            </w:tcBorders>
            <w:shd w:val="clear" w:color="auto" w:fill="auto"/>
            <w:noWrap/>
            <w:vAlign w:val="center"/>
          </w:tcPr>
          <w:p w14:paraId="5C76E16B" w14:textId="0301DF09"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12,1</w:t>
            </w:r>
          </w:p>
        </w:tc>
        <w:tc>
          <w:tcPr>
            <w:tcW w:w="1134" w:type="dxa"/>
            <w:tcBorders>
              <w:top w:val="nil"/>
              <w:left w:val="nil"/>
              <w:bottom w:val="single" w:sz="4" w:space="0" w:color="auto"/>
              <w:right w:val="single" w:sz="4" w:space="0" w:color="auto"/>
            </w:tcBorders>
            <w:shd w:val="clear" w:color="auto" w:fill="auto"/>
            <w:noWrap/>
            <w:vAlign w:val="center"/>
          </w:tcPr>
          <w:p w14:paraId="57B2ABEC" w14:textId="79D60BB2"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42,7</w:t>
            </w:r>
          </w:p>
        </w:tc>
        <w:tc>
          <w:tcPr>
            <w:tcW w:w="844" w:type="dxa"/>
            <w:tcBorders>
              <w:top w:val="nil"/>
              <w:left w:val="nil"/>
              <w:bottom w:val="single" w:sz="4" w:space="0" w:color="auto"/>
              <w:right w:val="single" w:sz="4" w:space="0" w:color="auto"/>
            </w:tcBorders>
            <w:shd w:val="clear" w:color="auto" w:fill="auto"/>
            <w:noWrap/>
            <w:vAlign w:val="center"/>
          </w:tcPr>
          <w:p w14:paraId="7C7A65B5" w14:textId="238BAB0C"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45,2</w:t>
            </w:r>
          </w:p>
        </w:tc>
      </w:tr>
      <w:tr w:rsidR="00B5555A" w:rsidRPr="001B4ECB" w14:paraId="05CE2E6C"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3D96751B" w14:textId="402DADD2" w:rsidR="00B5555A" w:rsidRPr="00B5555A" w:rsidRDefault="00B5555A" w:rsidP="00B5555A">
            <w:pPr>
              <w:spacing w:after="0" w:line="240" w:lineRule="auto"/>
              <w:rPr>
                <w:rFonts w:eastAsia="Times New Roman" w:cstheme="minorHAnsi"/>
                <w:sz w:val="18"/>
                <w:szCs w:val="18"/>
                <w:lang w:eastAsia="it-IT"/>
              </w:rPr>
            </w:pPr>
            <w:r w:rsidRPr="00B5555A">
              <w:rPr>
                <w:rFonts w:cstheme="minorHAnsi"/>
                <w:sz w:val="18"/>
                <w:szCs w:val="18"/>
              </w:rPr>
              <w:t>100-249</w:t>
            </w:r>
          </w:p>
        </w:tc>
        <w:tc>
          <w:tcPr>
            <w:tcW w:w="1417" w:type="dxa"/>
            <w:tcBorders>
              <w:top w:val="nil"/>
              <w:left w:val="nil"/>
              <w:bottom w:val="single" w:sz="4" w:space="0" w:color="auto"/>
              <w:right w:val="single" w:sz="4" w:space="0" w:color="auto"/>
            </w:tcBorders>
            <w:shd w:val="clear" w:color="auto" w:fill="auto"/>
            <w:noWrap/>
            <w:vAlign w:val="center"/>
          </w:tcPr>
          <w:p w14:paraId="501766CC" w14:textId="33722F8D"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43,4</w:t>
            </w:r>
          </w:p>
        </w:tc>
        <w:tc>
          <w:tcPr>
            <w:tcW w:w="1134" w:type="dxa"/>
            <w:tcBorders>
              <w:top w:val="nil"/>
              <w:left w:val="nil"/>
              <w:bottom w:val="single" w:sz="4" w:space="0" w:color="auto"/>
              <w:right w:val="single" w:sz="4" w:space="0" w:color="auto"/>
            </w:tcBorders>
            <w:shd w:val="clear" w:color="auto" w:fill="auto"/>
            <w:noWrap/>
            <w:vAlign w:val="center"/>
          </w:tcPr>
          <w:p w14:paraId="2CCF7FB8" w14:textId="3E96FB08"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90,5</w:t>
            </w:r>
          </w:p>
        </w:tc>
        <w:tc>
          <w:tcPr>
            <w:tcW w:w="1134" w:type="dxa"/>
            <w:tcBorders>
              <w:top w:val="nil"/>
              <w:left w:val="nil"/>
              <w:bottom w:val="single" w:sz="4" w:space="0" w:color="auto"/>
              <w:right w:val="single" w:sz="4" w:space="0" w:color="auto"/>
            </w:tcBorders>
            <w:shd w:val="clear" w:color="auto" w:fill="auto"/>
            <w:noWrap/>
            <w:vAlign w:val="center"/>
          </w:tcPr>
          <w:p w14:paraId="2F6386FE" w14:textId="41292E55"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6,1</w:t>
            </w:r>
          </w:p>
        </w:tc>
        <w:tc>
          <w:tcPr>
            <w:tcW w:w="993" w:type="dxa"/>
            <w:tcBorders>
              <w:top w:val="nil"/>
              <w:left w:val="nil"/>
              <w:bottom w:val="single" w:sz="4" w:space="0" w:color="auto"/>
              <w:right w:val="single" w:sz="4" w:space="0" w:color="auto"/>
            </w:tcBorders>
            <w:shd w:val="clear" w:color="auto" w:fill="auto"/>
            <w:noWrap/>
            <w:vAlign w:val="center"/>
          </w:tcPr>
          <w:p w14:paraId="183E8D40" w14:textId="63E35735"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2,1</w:t>
            </w:r>
          </w:p>
        </w:tc>
        <w:tc>
          <w:tcPr>
            <w:tcW w:w="708" w:type="dxa"/>
            <w:tcBorders>
              <w:top w:val="nil"/>
              <w:left w:val="nil"/>
              <w:bottom w:val="single" w:sz="4" w:space="0" w:color="auto"/>
              <w:right w:val="single" w:sz="4" w:space="0" w:color="auto"/>
            </w:tcBorders>
            <w:shd w:val="clear" w:color="auto" w:fill="auto"/>
            <w:noWrap/>
            <w:vAlign w:val="center"/>
          </w:tcPr>
          <w:p w14:paraId="32BD94F6" w14:textId="23956E69"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1,2</w:t>
            </w:r>
          </w:p>
        </w:tc>
        <w:tc>
          <w:tcPr>
            <w:tcW w:w="1418" w:type="dxa"/>
            <w:tcBorders>
              <w:top w:val="nil"/>
              <w:left w:val="nil"/>
              <w:bottom w:val="single" w:sz="4" w:space="0" w:color="auto"/>
              <w:right w:val="single" w:sz="4" w:space="0" w:color="auto"/>
            </w:tcBorders>
            <w:shd w:val="clear" w:color="auto" w:fill="auto"/>
            <w:noWrap/>
            <w:vAlign w:val="center"/>
          </w:tcPr>
          <w:p w14:paraId="2E086A80" w14:textId="36B98A09"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9,8</w:t>
            </w:r>
          </w:p>
        </w:tc>
        <w:tc>
          <w:tcPr>
            <w:tcW w:w="1134" w:type="dxa"/>
            <w:tcBorders>
              <w:top w:val="nil"/>
              <w:left w:val="nil"/>
              <w:bottom w:val="single" w:sz="4" w:space="0" w:color="auto"/>
              <w:right w:val="single" w:sz="4" w:space="0" w:color="auto"/>
            </w:tcBorders>
            <w:shd w:val="clear" w:color="auto" w:fill="auto"/>
            <w:noWrap/>
            <w:vAlign w:val="center"/>
          </w:tcPr>
          <w:p w14:paraId="13EA6EC5" w14:textId="06F15796"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39,4</w:t>
            </w:r>
          </w:p>
        </w:tc>
        <w:tc>
          <w:tcPr>
            <w:tcW w:w="844" w:type="dxa"/>
            <w:tcBorders>
              <w:top w:val="nil"/>
              <w:left w:val="nil"/>
              <w:bottom w:val="single" w:sz="4" w:space="0" w:color="auto"/>
              <w:right w:val="single" w:sz="4" w:space="0" w:color="auto"/>
            </w:tcBorders>
            <w:shd w:val="clear" w:color="auto" w:fill="auto"/>
            <w:noWrap/>
            <w:vAlign w:val="center"/>
          </w:tcPr>
          <w:p w14:paraId="23A82CDF" w14:textId="73B9C093" w:rsidR="00B5555A" w:rsidRPr="00B5555A" w:rsidRDefault="00B5555A" w:rsidP="00B5555A">
            <w:pPr>
              <w:spacing w:after="0" w:line="240" w:lineRule="auto"/>
              <w:jc w:val="center"/>
              <w:rPr>
                <w:rFonts w:eastAsia="Times New Roman" w:cstheme="minorHAnsi"/>
                <w:sz w:val="18"/>
                <w:szCs w:val="18"/>
                <w:lang w:eastAsia="it-IT"/>
              </w:rPr>
            </w:pPr>
            <w:r w:rsidRPr="00B5555A">
              <w:rPr>
                <w:rFonts w:cstheme="minorHAnsi"/>
                <w:sz w:val="18"/>
                <w:szCs w:val="18"/>
              </w:rPr>
              <w:t>50,8</w:t>
            </w:r>
          </w:p>
        </w:tc>
      </w:tr>
      <w:tr w:rsidR="00EC2C2C" w:rsidRPr="001B4ECB" w14:paraId="0B454CD9"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4AE93800" w14:textId="1AA1003C" w:rsidR="00EC2C2C" w:rsidRPr="00B5555A" w:rsidRDefault="00EC2C2C" w:rsidP="00EC2C2C">
            <w:pPr>
              <w:spacing w:after="0" w:line="240" w:lineRule="auto"/>
              <w:rPr>
                <w:rFonts w:eastAsia="Times New Roman" w:cstheme="minorHAnsi"/>
                <w:sz w:val="18"/>
                <w:szCs w:val="18"/>
                <w:lang w:eastAsia="it-IT"/>
              </w:rPr>
            </w:pPr>
            <w:r w:rsidRPr="00A37B5E">
              <w:rPr>
                <w:rFonts w:eastAsia="Aptos" w:cstheme="minorHAnsi"/>
                <w:kern w:val="2"/>
                <w:sz w:val="18"/>
                <w:szCs w:val="18"/>
                <w14:ligatures w14:val="standardContextual"/>
              </w:rPr>
              <w:t xml:space="preserve">250 </w:t>
            </w:r>
            <w:r>
              <w:rPr>
                <w:rFonts w:eastAsia="Aptos" w:cstheme="minorHAnsi"/>
                <w:kern w:val="2"/>
                <w:sz w:val="18"/>
                <w:szCs w:val="18"/>
                <w14:ligatures w14:val="standardContextual"/>
              </w:rPr>
              <w:t xml:space="preserve">&gt; </w:t>
            </w:r>
          </w:p>
        </w:tc>
        <w:tc>
          <w:tcPr>
            <w:tcW w:w="1417" w:type="dxa"/>
            <w:tcBorders>
              <w:top w:val="nil"/>
              <w:left w:val="nil"/>
              <w:bottom w:val="single" w:sz="4" w:space="0" w:color="auto"/>
              <w:right w:val="single" w:sz="4" w:space="0" w:color="auto"/>
            </w:tcBorders>
            <w:shd w:val="clear" w:color="auto" w:fill="auto"/>
            <w:noWrap/>
            <w:vAlign w:val="center"/>
          </w:tcPr>
          <w:p w14:paraId="70163A14" w14:textId="664C1BFC" w:rsidR="00EC2C2C" w:rsidRPr="00B5555A" w:rsidRDefault="00EC2C2C" w:rsidP="00EC2C2C">
            <w:pPr>
              <w:spacing w:after="0" w:line="240" w:lineRule="auto"/>
              <w:jc w:val="center"/>
              <w:rPr>
                <w:rFonts w:eastAsia="Times New Roman" w:cstheme="minorHAnsi"/>
                <w:sz w:val="18"/>
                <w:szCs w:val="18"/>
                <w:lang w:eastAsia="it-IT"/>
              </w:rPr>
            </w:pPr>
            <w:r w:rsidRPr="00B5555A">
              <w:rPr>
                <w:rFonts w:cstheme="minorHAnsi"/>
                <w:sz w:val="18"/>
                <w:szCs w:val="18"/>
              </w:rPr>
              <w:t>40,8</w:t>
            </w:r>
          </w:p>
        </w:tc>
        <w:tc>
          <w:tcPr>
            <w:tcW w:w="1134" w:type="dxa"/>
            <w:tcBorders>
              <w:top w:val="nil"/>
              <w:left w:val="nil"/>
              <w:bottom w:val="single" w:sz="4" w:space="0" w:color="auto"/>
              <w:right w:val="single" w:sz="4" w:space="0" w:color="auto"/>
            </w:tcBorders>
            <w:shd w:val="clear" w:color="auto" w:fill="auto"/>
            <w:noWrap/>
            <w:vAlign w:val="center"/>
          </w:tcPr>
          <w:p w14:paraId="1FBF088E" w14:textId="10DA917B" w:rsidR="00EC2C2C" w:rsidRPr="00B5555A" w:rsidRDefault="00EC2C2C" w:rsidP="00EC2C2C">
            <w:pPr>
              <w:spacing w:after="0" w:line="240" w:lineRule="auto"/>
              <w:jc w:val="center"/>
              <w:rPr>
                <w:rFonts w:eastAsia="Times New Roman" w:cstheme="minorHAnsi"/>
                <w:sz w:val="18"/>
                <w:szCs w:val="18"/>
                <w:lang w:eastAsia="it-IT"/>
              </w:rPr>
            </w:pPr>
            <w:r w:rsidRPr="00B5555A">
              <w:rPr>
                <w:rFonts w:cstheme="minorHAnsi"/>
                <w:sz w:val="18"/>
                <w:szCs w:val="18"/>
              </w:rPr>
              <w:t>89,8</w:t>
            </w:r>
          </w:p>
        </w:tc>
        <w:tc>
          <w:tcPr>
            <w:tcW w:w="1134" w:type="dxa"/>
            <w:tcBorders>
              <w:top w:val="nil"/>
              <w:left w:val="nil"/>
              <w:bottom w:val="single" w:sz="4" w:space="0" w:color="auto"/>
              <w:right w:val="single" w:sz="4" w:space="0" w:color="auto"/>
            </w:tcBorders>
            <w:shd w:val="clear" w:color="auto" w:fill="auto"/>
            <w:noWrap/>
            <w:vAlign w:val="center"/>
          </w:tcPr>
          <w:p w14:paraId="7EB7E9A7" w14:textId="2C0BC39F" w:rsidR="00EC2C2C" w:rsidRPr="00B5555A" w:rsidRDefault="00EC2C2C" w:rsidP="00EC2C2C">
            <w:pPr>
              <w:spacing w:after="0" w:line="240" w:lineRule="auto"/>
              <w:jc w:val="center"/>
              <w:rPr>
                <w:rFonts w:eastAsia="Times New Roman" w:cstheme="minorHAnsi"/>
                <w:sz w:val="18"/>
                <w:szCs w:val="18"/>
                <w:lang w:eastAsia="it-IT"/>
              </w:rPr>
            </w:pPr>
            <w:r w:rsidRPr="00B5555A">
              <w:rPr>
                <w:rFonts w:cstheme="minorHAnsi"/>
                <w:sz w:val="18"/>
                <w:szCs w:val="18"/>
              </w:rPr>
              <w:t>5,7</w:t>
            </w:r>
          </w:p>
        </w:tc>
        <w:tc>
          <w:tcPr>
            <w:tcW w:w="993" w:type="dxa"/>
            <w:tcBorders>
              <w:top w:val="nil"/>
              <w:left w:val="nil"/>
              <w:bottom w:val="single" w:sz="4" w:space="0" w:color="auto"/>
              <w:right w:val="single" w:sz="4" w:space="0" w:color="auto"/>
            </w:tcBorders>
            <w:shd w:val="clear" w:color="auto" w:fill="auto"/>
            <w:noWrap/>
            <w:vAlign w:val="center"/>
          </w:tcPr>
          <w:p w14:paraId="708BA31A" w14:textId="5A5C7D7B" w:rsidR="00EC2C2C" w:rsidRPr="00B5555A" w:rsidRDefault="00EC2C2C" w:rsidP="00EC2C2C">
            <w:pPr>
              <w:spacing w:after="0" w:line="240" w:lineRule="auto"/>
              <w:jc w:val="center"/>
              <w:rPr>
                <w:rFonts w:eastAsia="Times New Roman" w:cstheme="minorHAnsi"/>
                <w:sz w:val="18"/>
                <w:szCs w:val="18"/>
                <w:lang w:eastAsia="it-IT"/>
              </w:rPr>
            </w:pPr>
            <w:r w:rsidRPr="00B5555A">
              <w:rPr>
                <w:rFonts w:cstheme="minorHAnsi"/>
                <w:sz w:val="18"/>
                <w:szCs w:val="18"/>
              </w:rPr>
              <w:t>3,7</w:t>
            </w:r>
          </w:p>
        </w:tc>
        <w:tc>
          <w:tcPr>
            <w:tcW w:w="708" w:type="dxa"/>
            <w:tcBorders>
              <w:top w:val="nil"/>
              <w:left w:val="nil"/>
              <w:bottom w:val="single" w:sz="4" w:space="0" w:color="auto"/>
              <w:right w:val="single" w:sz="4" w:space="0" w:color="auto"/>
            </w:tcBorders>
            <w:shd w:val="clear" w:color="auto" w:fill="auto"/>
            <w:noWrap/>
            <w:vAlign w:val="center"/>
          </w:tcPr>
          <w:p w14:paraId="37FD0AF7" w14:textId="2946C5E8" w:rsidR="00EC2C2C" w:rsidRPr="00B5555A" w:rsidRDefault="00EC2C2C" w:rsidP="00EC2C2C">
            <w:pPr>
              <w:spacing w:after="0" w:line="240" w:lineRule="auto"/>
              <w:jc w:val="center"/>
              <w:rPr>
                <w:rFonts w:eastAsia="Times New Roman" w:cstheme="minorHAnsi"/>
                <w:sz w:val="18"/>
                <w:szCs w:val="18"/>
                <w:lang w:eastAsia="it-IT"/>
              </w:rPr>
            </w:pPr>
            <w:r w:rsidRPr="00B5555A">
              <w:rPr>
                <w:rFonts w:cstheme="minorHAnsi"/>
                <w:sz w:val="18"/>
                <w:szCs w:val="18"/>
              </w:rPr>
              <w:t>0,8</w:t>
            </w:r>
          </w:p>
        </w:tc>
        <w:tc>
          <w:tcPr>
            <w:tcW w:w="1418" w:type="dxa"/>
            <w:tcBorders>
              <w:top w:val="nil"/>
              <w:left w:val="nil"/>
              <w:bottom w:val="single" w:sz="4" w:space="0" w:color="auto"/>
              <w:right w:val="single" w:sz="4" w:space="0" w:color="auto"/>
            </w:tcBorders>
            <w:shd w:val="clear" w:color="auto" w:fill="auto"/>
            <w:noWrap/>
            <w:vAlign w:val="center"/>
          </w:tcPr>
          <w:p w14:paraId="019A7C94" w14:textId="1B23102D" w:rsidR="00EC2C2C" w:rsidRPr="00B5555A" w:rsidRDefault="00EC2C2C" w:rsidP="00EC2C2C">
            <w:pPr>
              <w:spacing w:after="0" w:line="240" w:lineRule="auto"/>
              <w:jc w:val="center"/>
              <w:rPr>
                <w:rFonts w:eastAsia="Times New Roman" w:cstheme="minorHAnsi"/>
                <w:sz w:val="18"/>
                <w:szCs w:val="18"/>
                <w:lang w:eastAsia="it-IT"/>
              </w:rPr>
            </w:pPr>
            <w:r w:rsidRPr="00B5555A">
              <w:rPr>
                <w:rFonts w:cstheme="minorHAnsi"/>
                <w:sz w:val="18"/>
                <w:szCs w:val="18"/>
              </w:rPr>
              <w:t>7,3</w:t>
            </w:r>
          </w:p>
        </w:tc>
        <w:tc>
          <w:tcPr>
            <w:tcW w:w="1134" w:type="dxa"/>
            <w:tcBorders>
              <w:top w:val="nil"/>
              <w:left w:val="nil"/>
              <w:bottom w:val="single" w:sz="4" w:space="0" w:color="auto"/>
              <w:right w:val="single" w:sz="4" w:space="0" w:color="auto"/>
            </w:tcBorders>
            <w:shd w:val="clear" w:color="auto" w:fill="auto"/>
            <w:noWrap/>
            <w:vAlign w:val="center"/>
          </w:tcPr>
          <w:p w14:paraId="1EA9DAE3" w14:textId="2B305F59" w:rsidR="00EC2C2C" w:rsidRPr="00B5555A" w:rsidRDefault="00EC2C2C" w:rsidP="00EC2C2C">
            <w:pPr>
              <w:spacing w:after="0" w:line="240" w:lineRule="auto"/>
              <w:jc w:val="center"/>
              <w:rPr>
                <w:rFonts w:eastAsia="Times New Roman" w:cstheme="minorHAnsi"/>
                <w:sz w:val="18"/>
                <w:szCs w:val="18"/>
                <w:lang w:eastAsia="it-IT"/>
              </w:rPr>
            </w:pPr>
            <w:r w:rsidRPr="00B5555A">
              <w:rPr>
                <w:rFonts w:cstheme="minorHAnsi"/>
                <w:sz w:val="18"/>
                <w:szCs w:val="18"/>
              </w:rPr>
              <w:t>26,5</w:t>
            </w:r>
          </w:p>
        </w:tc>
        <w:tc>
          <w:tcPr>
            <w:tcW w:w="844" w:type="dxa"/>
            <w:tcBorders>
              <w:top w:val="nil"/>
              <w:left w:val="nil"/>
              <w:bottom w:val="single" w:sz="4" w:space="0" w:color="auto"/>
              <w:right w:val="single" w:sz="4" w:space="0" w:color="auto"/>
            </w:tcBorders>
            <w:shd w:val="clear" w:color="auto" w:fill="auto"/>
            <w:noWrap/>
            <w:vAlign w:val="center"/>
          </w:tcPr>
          <w:p w14:paraId="753EF4E1" w14:textId="79C69A5E" w:rsidR="00EC2C2C" w:rsidRPr="00B5555A" w:rsidRDefault="00EC2C2C" w:rsidP="00EC2C2C">
            <w:pPr>
              <w:spacing w:after="0" w:line="240" w:lineRule="auto"/>
              <w:jc w:val="center"/>
              <w:rPr>
                <w:rFonts w:eastAsia="Times New Roman" w:cstheme="minorHAnsi"/>
                <w:sz w:val="18"/>
                <w:szCs w:val="18"/>
                <w:lang w:eastAsia="it-IT"/>
              </w:rPr>
            </w:pPr>
            <w:r w:rsidRPr="00B5555A">
              <w:rPr>
                <w:rFonts w:cstheme="minorHAnsi"/>
                <w:sz w:val="18"/>
                <w:szCs w:val="18"/>
              </w:rPr>
              <w:t>66,2</w:t>
            </w:r>
          </w:p>
        </w:tc>
      </w:tr>
      <w:tr w:rsidR="00B5555A" w:rsidRPr="00B5555A" w14:paraId="18E8B6CE"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tcPr>
          <w:p w14:paraId="7BB52FAD" w14:textId="531CFB76" w:rsidR="00B5555A" w:rsidRPr="00B5555A" w:rsidRDefault="00B5555A" w:rsidP="00B5555A">
            <w:pPr>
              <w:spacing w:after="0" w:line="240" w:lineRule="auto"/>
              <w:rPr>
                <w:rFonts w:eastAsia="Times New Roman" w:cstheme="minorHAnsi"/>
                <w:b/>
                <w:bCs/>
                <w:sz w:val="18"/>
                <w:szCs w:val="18"/>
                <w:lang w:eastAsia="it-IT"/>
              </w:rPr>
            </w:pPr>
            <w:r w:rsidRPr="00B5555A">
              <w:rPr>
                <w:rFonts w:cstheme="minorHAnsi"/>
                <w:b/>
                <w:bCs/>
                <w:sz w:val="18"/>
                <w:szCs w:val="18"/>
              </w:rPr>
              <w:t>Totale</w:t>
            </w:r>
          </w:p>
        </w:tc>
        <w:tc>
          <w:tcPr>
            <w:tcW w:w="1417" w:type="dxa"/>
            <w:tcBorders>
              <w:top w:val="nil"/>
              <w:left w:val="nil"/>
              <w:bottom w:val="single" w:sz="4" w:space="0" w:color="auto"/>
              <w:right w:val="single" w:sz="4" w:space="0" w:color="auto"/>
            </w:tcBorders>
            <w:shd w:val="clear" w:color="auto" w:fill="auto"/>
            <w:noWrap/>
          </w:tcPr>
          <w:p w14:paraId="70F30298" w14:textId="19E7CCB0" w:rsidR="00B5555A" w:rsidRPr="00B5555A" w:rsidRDefault="00B5555A" w:rsidP="00B5555A">
            <w:pPr>
              <w:spacing w:after="0" w:line="240" w:lineRule="auto"/>
              <w:jc w:val="center"/>
              <w:rPr>
                <w:rFonts w:eastAsia="Times New Roman" w:cstheme="minorHAnsi"/>
                <w:b/>
                <w:bCs/>
                <w:sz w:val="18"/>
                <w:szCs w:val="18"/>
                <w:lang w:eastAsia="it-IT"/>
              </w:rPr>
            </w:pPr>
            <w:r w:rsidRPr="00B5555A">
              <w:rPr>
                <w:rFonts w:cstheme="minorHAnsi"/>
                <w:b/>
                <w:bCs/>
                <w:sz w:val="18"/>
                <w:szCs w:val="18"/>
              </w:rPr>
              <w:t>24,0</w:t>
            </w:r>
          </w:p>
        </w:tc>
        <w:tc>
          <w:tcPr>
            <w:tcW w:w="1134" w:type="dxa"/>
            <w:tcBorders>
              <w:top w:val="nil"/>
              <w:left w:val="nil"/>
              <w:bottom w:val="single" w:sz="4" w:space="0" w:color="auto"/>
              <w:right w:val="single" w:sz="4" w:space="0" w:color="auto"/>
            </w:tcBorders>
            <w:shd w:val="clear" w:color="auto" w:fill="auto"/>
            <w:noWrap/>
          </w:tcPr>
          <w:p w14:paraId="35B78013" w14:textId="6CA44836" w:rsidR="00B5555A" w:rsidRPr="00B5555A" w:rsidRDefault="00B5555A" w:rsidP="00B5555A">
            <w:pPr>
              <w:spacing w:after="0" w:line="240" w:lineRule="auto"/>
              <w:jc w:val="center"/>
              <w:rPr>
                <w:rFonts w:eastAsia="Times New Roman" w:cstheme="minorHAnsi"/>
                <w:b/>
                <w:bCs/>
                <w:sz w:val="18"/>
                <w:szCs w:val="18"/>
                <w:lang w:eastAsia="it-IT"/>
              </w:rPr>
            </w:pPr>
            <w:r w:rsidRPr="00B5555A">
              <w:rPr>
                <w:rFonts w:cstheme="minorHAnsi"/>
                <w:b/>
                <w:bCs/>
                <w:sz w:val="18"/>
                <w:szCs w:val="18"/>
              </w:rPr>
              <w:t>84,4</w:t>
            </w:r>
          </w:p>
        </w:tc>
        <w:tc>
          <w:tcPr>
            <w:tcW w:w="1134" w:type="dxa"/>
            <w:tcBorders>
              <w:top w:val="nil"/>
              <w:left w:val="nil"/>
              <w:bottom w:val="single" w:sz="4" w:space="0" w:color="auto"/>
              <w:right w:val="single" w:sz="4" w:space="0" w:color="auto"/>
            </w:tcBorders>
            <w:shd w:val="clear" w:color="auto" w:fill="auto"/>
            <w:noWrap/>
          </w:tcPr>
          <w:p w14:paraId="5BB9204F" w14:textId="75733C5F" w:rsidR="00B5555A" w:rsidRPr="00B5555A" w:rsidRDefault="00B5555A" w:rsidP="00B5555A">
            <w:pPr>
              <w:spacing w:after="0" w:line="240" w:lineRule="auto"/>
              <w:jc w:val="center"/>
              <w:rPr>
                <w:rFonts w:eastAsia="Times New Roman" w:cstheme="minorHAnsi"/>
                <w:b/>
                <w:bCs/>
                <w:sz w:val="18"/>
                <w:szCs w:val="18"/>
                <w:lang w:eastAsia="it-IT"/>
              </w:rPr>
            </w:pPr>
            <w:r w:rsidRPr="00B5555A">
              <w:rPr>
                <w:rFonts w:cstheme="minorHAnsi"/>
                <w:b/>
                <w:bCs/>
                <w:sz w:val="18"/>
                <w:szCs w:val="18"/>
              </w:rPr>
              <w:t>9,5</w:t>
            </w:r>
          </w:p>
        </w:tc>
        <w:tc>
          <w:tcPr>
            <w:tcW w:w="993" w:type="dxa"/>
            <w:tcBorders>
              <w:top w:val="nil"/>
              <w:left w:val="nil"/>
              <w:bottom w:val="single" w:sz="4" w:space="0" w:color="auto"/>
              <w:right w:val="single" w:sz="4" w:space="0" w:color="auto"/>
            </w:tcBorders>
            <w:shd w:val="clear" w:color="auto" w:fill="auto"/>
            <w:noWrap/>
          </w:tcPr>
          <w:p w14:paraId="68195482" w14:textId="60DFF2FC" w:rsidR="00B5555A" w:rsidRPr="00B5555A" w:rsidRDefault="00B5555A" w:rsidP="00B5555A">
            <w:pPr>
              <w:spacing w:after="0" w:line="240" w:lineRule="auto"/>
              <w:jc w:val="center"/>
              <w:rPr>
                <w:rFonts w:eastAsia="Times New Roman" w:cstheme="minorHAnsi"/>
                <w:b/>
                <w:bCs/>
                <w:sz w:val="18"/>
                <w:szCs w:val="18"/>
                <w:lang w:eastAsia="it-IT"/>
              </w:rPr>
            </w:pPr>
            <w:r w:rsidRPr="00B5555A">
              <w:rPr>
                <w:rFonts w:cstheme="minorHAnsi"/>
                <w:b/>
                <w:bCs/>
                <w:sz w:val="18"/>
                <w:szCs w:val="18"/>
              </w:rPr>
              <w:t>2,6</w:t>
            </w:r>
          </w:p>
        </w:tc>
        <w:tc>
          <w:tcPr>
            <w:tcW w:w="708" w:type="dxa"/>
            <w:tcBorders>
              <w:top w:val="nil"/>
              <w:left w:val="nil"/>
              <w:bottom w:val="single" w:sz="4" w:space="0" w:color="auto"/>
              <w:right w:val="single" w:sz="4" w:space="0" w:color="auto"/>
            </w:tcBorders>
            <w:shd w:val="clear" w:color="auto" w:fill="auto"/>
            <w:noWrap/>
          </w:tcPr>
          <w:p w14:paraId="2ECBE8F4" w14:textId="0A798BBC" w:rsidR="00B5555A" w:rsidRPr="00B5555A" w:rsidRDefault="00B5555A" w:rsidP="00B5555A">
            <w:pPr>
              <w:spacing w:after="0" w:line="240" w:lineRule="auto"/>
              <w:jc w:val="center"/>
              <w:rPr>
                <w:rFonts w:eastAsia="Times New Roman" w:cstheme="minorHAnsi"/>
                <w:b/>
                <w:bCs/>
                <w:sz w:val="18"/>
                <w:szCs w:val="18"/>
                <w:lang w:eastAsia="it-IT"/>
              </w:rPr>
            </w:pPr>
            <w:r w:rsidRPr="00B5555A">
              <w:rPr>
                <w:rFonts w:cstheme="minorHAnsi"/>
                <w:b/>
                <w:bCs/>
                <w:sz w:val="18"/>
                <w:szCs w:val="18"/>
              </w:rPr>
              <w:t>3,5</w:t>
            </w:r>
          </w:p>
        </w:tc>
        <w:tc>
          <w:tcPr>
            <w:tcW w:w="1418" w:type="dxa"/>
            <w:tcBorders>
              <w:top w:val="nil"/>
              <w:left w:val="nil"/>
              <w:bottom w:val="single" w:sz="4" w:space="0" w:color="auto"/>
              <w:right w:val="single" w:sz="4" w:space="0" w:color="auto"/>
            </w:tcBorders>
            <w:shd w:val="clear" w:color="auto" w:fill="auto"/>
            <w:noWrap/>
          </w:tcPr>
          <w:p w14:paraId="5FB4976E" w14:textId="73F26B22" w:rsidR="00B5555A" w:rsidRPr="00B5555A" w:rsidRDefault="00B5555A" w:rsidP="00B5555A">
            <w:pPr>
              <w:spacing w:after="0" w:line="240" w:lineRule="auto"/>
              <w:jc w:val="center"/>
              <w:rPr>
                <w:rFonts w:eastAsia="Times New Roman" w:cstheme="minorHAnsi"/>
                <w:b/>
                <w:bCs/>
                <w:sz w:val="18"/>
                <w:szCs w:val="18"/>
                <w:lang w:eastAsia="it-IT"/>
              </w:rPr>
            </w:pPr>
            <w:r w:rsidRPr="00B5555A">
              <w:rPr>
                <w:rFonts w:cstheme="minorHAnsi"/>
                <w:b/>
                <w:bCs/>
                <w:sz w:val="18"/>
                <w:szCs w:val="18"/>
              </w:rPr>
              <w:t>17,6</w:t>
            </w:r>
          </w:p>
        </w:tc>
        <w:tc>
          <w:tcPr>
            <w:tcW w:w="1134" w:type="dxa"/>
            <w:tcBorders>
              <w:top w:val="nil"/>
              <w:left w:val="nil"/>
              <w:bottom w:val="single" w:sz="4" w:space="0" w:color="auto"/>
              <w:right w:val="single" w:sz="4" w:space="0" w:color="auto"/>
            </w:tcBorders>
            <w:shd w:val="clear" w:color="auto" w:fill="auto"/>
            <w:noWrap/>
          </w:tcPr>
          <w:p w14:paraId="2E22390B" w14:textId="3604EE44" w:rsidR="00B5555A" w:rsidRPr="00B5555A" w:rsidRDefault="00B5555A" w:rsidP="00B5555A">
            <w:pPr>
              <w:spacing w:after="0" w:line="240" w:lineRule="auto"/>
              <w:jc w:val="center"/>
              <w:rPr>
                <w:rFonts w:eastAsia="Times New Roman" w:cstheme="minorHAnsi"/>
                <w:b/>
                <w:bCs/>
                <w:sz w:val="18"/>
                <w:szCs w:val="18"/>
                <w:lang w:eastAsia="it-IT"/>
              </w:rPr>
            </w:pPr>
            <w:r w:rsidRPr="00B5555A">
              <w:rPr>
                <w:rFonts w:cstheme="minorHAnsi"/>
                <w:b/>
                <w:bCs/>
                <w:sz w:val="18"/>
                <w:szCs w:val="18"/>
              </w:rPr>
              <w:t>31,1</w:t>
            </w:r>
          </w:p>
        </w:tc>
        <w:tc>
          <w:tcPr>
            <w:tcW w:w="844" w:type="dxa"/>
            <w:tcBorders>
              <w:top w:val="nil"/>
              <w:left w:val="nil"/>
              <w:bottom w:val="single" w:sz="4" w:space="0" w:color="auto"/>
              <w:right w:val="single" w:sz="4" w:space="0" w:color="auto"/>
            </w:tcBorders>
            <w:shd w:val="clear" w:color="auto" w:fill="auto"/>
            <w:noWrap/>
          </w:tcPr>
          <w:p w14:paraId="71F32BEA" w14:textId="7635645E" w:rsidR="00B5555A" w:rsidRPr="00B5555A" w:rsidRDefault="00B5555A" w:rsidP="00B5555A">
            <w:pPr>
              <w:spacing w:after="0" w:line="240" w:lineRule="auto"/>
              <w:jc w:val="center"/>
              <w:rPr>
                <w:rFonts w:eastAsia="Times New Roman" w:cstheme="minorHAnsi"/>
                <w:b/>
                <w:bCs/>
                <w:sz w:val="18"/>
                <w:szCs w:val="18"/>
                <w:lang w:eastAsia="it-IT"/>
              </w:rPr>
            </w:pPr>
            <w:r w:rsidRPr="00B5555A">
              <w:rPr>
                <w:rFonts w:cstheme="minorHAnsi"/>
                <w:b/>
                <w:bCs/>
                <w:sz w:val="18"/>
                <w:szCs w:val="18"/>
              </w:rPr>
              <w:t>51,3</w:t>
            </w:r>
          </w:p>
        </w:tc>
      </w:tr>
      <w:tr w:rsidR="001B4ECB" w:rsidRPr="001B4ECB" w14:paraId="43B03E3E"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47D3979D" w14:textId="77777777" w:rsidR="001B4ECB" w:rsidRPr="001B4ECB" w:rsidRDefault="001B4ECB" w:rsidP="001B4ECB">
            <w:pPr>
              <w:spacing w:after="0" w:line="240" w:lineRule="auto"/>
              <w:rPr>
                <w:rFonts w:eastAsia="Times New Roman" w:cstheme="minorHAnsi"/>
                <w:sz w:val="18"/>
                <w:szCs w:val="18"/>
                <w:lang w:eastAsia="it-IT"/>
              </w:rPr>
            </w:pPr>
            <w:r w:rsidRPr="001B4ECB">
              <w:rPr>
                <w:rFonts w:eastAsia="Times New Roman" w:cstheme="minorHAnsi"/>
                <w:sz w:val="18"/>
                <w:szCs w:val="18"/>
                <w:lang w:eastAsia="it-IT"/>
              </w:rPr>
              <w:t>Centro</w:t>
            </w:r>
          </w:p>
        </w:tc>
        <w:tc>
          <w:tcPr>
            <w:tcW w:w="1417" w:type="dxa"/>
            <w:tcBorders>
              <w:top w:val="nil"/>
              <w:left w:val="nil"/>
              <w:bottom w:val="single" w:sz="4" w:space="0" w:color="auto"/>
              <w:right w:val="single" w:sz="4" w:space="0" w:color="auto"/>
            </w:tcBorders>
            <w:shd w:val="clear" w:color="auto" w:fill="D5DCE4" w:themeFill="text2" w:themeFillTint="33"/>
            <w:noWrap/>
            <w:vAlign w:val="bottom"/>
            <w:hideMark/>
          </w:tcPr>
          <w:p w14:paraId="1B6C44CB"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22,4</w:t>
            </w:r>
          </w:p>
        </w:tc>
        <w:tc>
          <w:tcPr>
            <w:tcW w:w="1134" w:type="dxa"/>
            <w:tcBorders>
              <w:top w:val="nil"/>
              <w:left w:val="nil"/>
              <w:bottom w:val="single" w:sz="4" w:space="0" w:color="auto"/>
              <w:right w:val="single" w:sz="4" w:space="0" w:color="auto"/>
            </w:tcBorders>
            <w:shd w:val="clear" w:color="auto" w:fill="D5DCE4" w:themeFill="text2" w:themeFillTint="33"/>
            <w:noWrap/>
            <w:vAlign w:val="bottom"/>
            <w:hideMark/>
          </w:tcPr>
          <w:p w14:paraId="2397E2A9"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80,8</w:t>
            </w:r>
          </w:p>
        </w:tc>
        <w:tc>
          <w:tcPr>
            <w:tcW w:w="1134" w:type="dxa"/>
            <w:tcBorders>
              <w:top w:val="nil"/>
              <w:left w:val="nil"/>
              <w:bottom w:val="single" w:sz="4" w:space="0" w:color="auto"/>
              <w:right w:val="single" w:sz="4" w:space="0" w:color="auto"/>
            </w:tcBorders>
            <w:shd w:val="clear" w:color="auto" w:fill="D5DCE4" w:themeFill="text2" w:themeFillTint="33"/>
            <w:noWrap/>
            <w:vAlign w:val="bottom"/>
            <w:hideMark/>
          </w:tcPr>
          <w:p w14:paraId="14DF28BE"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9,7</w:t>
            </w:r>
          </w:p>
        </w:tc>
        <w:tc>
          <w:tcPr>
            <w:tcW w:w="993" w:type="dxa"/>
            <w:tcBorders>
              <w:top w:val="nil"/>
              <w:left w:val="nil"/>
              <w:bottom w:val="single" w:sz="4" w:space="0" w:color="auto"/>
              <w:right w:val="single" w:sz="4" w:space="0" w:color="auto"/>
            </w:tcBorders>
            <w:shd w:val="clear" w:color="auto" w:fill="D5DCE4" w:themeFill="text2" w:themeFillTint="33"/>
            <w:noWrap/>
            <w:vAlign w:val="bottom"/>
            <w:hideMark/>
          </w:tcPr>
          <w:p w14:paraId="502AAF1B"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2,7</w:t>
            </w:r>
          </w:p>
        </w:tc>
        <w:tc>
          <w:tcPr>
            <w:tcW w:w="708" w:type="dxa"/>
            <w:tcBorders>
              <w:top w:val="nil"/>
              <w:left w:val="nil"/>
              <w:bottom w:val="single" w:sz="4" w:space="0" w:color="auto"/>
              <w:right w:val="single" w:sz="4" w:space="0" w:color="auto"/>
            </w:tcBorders>
            <w:shd w:val="clear" w:color="auto" w:fill="D5DCE4" w:themeFill="text2" w:themeFillTint="33"/>
            <w:noWrap/>
            <w:vAlign w:val="bottom"/>
            <w:hideMark/>
          </w:tcPr>
          <w:p w14:paraId="108C6D7D"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6,8</w:t>
            </w:r>
          </w:p>
        </w:tc>
        <w:tc>
          <w:tcPr>
            <w:tcW w:w="1418" w:type="dxa"/>
            <w:tcBorders>
              <w:top w:val="nil"/>
              <w:left w:val="nil"/>
              <w:bottom w:val="single" w:sz="4" w:space="0" w:color="auto"/>
              <w:right w:val="single" w:sz="4" w:space="0" w:color="auto"/>
            </w:tcBorders>
            <w:shd w:val="clear" w:color="auto" w:fill="D5DCE4" w:themeFill="text2" w:themeFillTint="33"/>
            <w:noWrap/>
            <w:vAlign w:val="bottom"/>
            <w:hideMark/>
          </w:tcPr>
          <w:p w14:paraId="7650FD3E"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17,6</w:t>
            </w:r>
          </w:p>
        </w:tc>
        <w:tc>
          <w:tcPr>
            <w:tcW w:w="1134" w:type="dxa"/>
            <w:tcBorders>
              <w:top w:val="nil"/>
              <w:left w:val="nil"/>
              <w:bottom w:val="single" w:sz="4" w:space="0" w:color="auto"/>
              <w:right w:val="single" w:sz="4" w:space="0" w:color="auto"/>
            </w:tcBorders>
            <w:shd w:val="clear" w:color="auto" w:fill="D5DCE4" w:themeFill="text2" w:themeFillTint="33"/>
            <w:noWrap/>
            <w:vAlign w:val="bottom"/>
            <w:hideMark/>
          </w:tcPr>
          <w:p w14:paraId="1C103381"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29,5</w:t>
            </w:r>
          </w:p>
        </w:tc>
        <w:tc>
          <w:tcPr>
            <w:tcW w:w="844" w:type="dxa"/>
            <w:tcBorders>
              <w:top w:val="nil"/>
              <w:left w:val="nil"/>
              <w:bottom w:val="single" w:sz="4" w:space="0" w:color="auto"/>
              <w:right w:val="single" w:sz="4" w:space="0" w:color="auto"/>
            </w:tcBorders>
            <w:shd w:val="clear" w:color="auto" w:fill="D5DCE4" w:themeFill="text2" w:themeFillTint="33"/>
            <w:noWrap/>
            <w:vAlign w:val="bottom"/>
            <w:hideMark/>
          </w:tcPr>
          <w:p w14:paraId="349498A2"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53,0</w:t>
            </w:r>
          </w:p>
        </w:tc>
      </w:tr>
      <w:tr w:rsidR="001B4ECB" w:rsidRPr="001B4ECB" w14:paraId="14B85D4F" w14:textId="77777777" w:rsidTr="00B52243">
        <w:trPr>
          <w:trHeight w:val="63"/>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509DA0" w14:textId="77777777" w:rsidR="001B4ECB" w:rsidRPr="001B4ECB" w:rsidRDefault="001B4ECB" w:rsidP="001B4ECB">
            <w:pPr>
              <w:spacing w:after="0" w:line="240" w:lineRule="auto"/>
              <w:rPr>
                <w:rFonts w:eastAsia="Times New Roman" w:cstheme="minorHAnsi"/>
                <w:sz w:val="18"/>
                <w:szCs w:val="18"/>
                <w:lang w:eastAsia="it-IT"/>
              </w:rPr>
            </w:pPr>
            <w:r w:rsidRPr="001B4ECB">
              <w:rPr>
                <w:rFonts w:eastAsia="Times New Roman" w:cstheme="minorHAnsi"/>
                <w:sz w:val="18"/>
                <w:szCs w:val="18"/>
                <w:lang w:eastAsia="it-IT"/>
              </w:rPr>
              <w:t>Italia</w:t>
            </w:r>
          </w:p>
        </w:tc>
        <w:tc>
          <w:tcPr>
            <w:tcW w:w="1417" w:type="dxa"/>
            <w:tcBorders>
              <w:top w:val="nil"/>
              <w:left w:val="nil"/>
              <w:bottom w:val="single" w:sz="4" w:space="0" w:color="auto"/>
              <w:right w:val="single" w:sz="4" w:space="0" w:color="auto"/>
            </w:tcBorders>
            <w:shd w:val="clear" w:color="auto" w:fill="auto"/>
            <w:noWrap/>
            <w:vAlign w:val="bottom"/>
            <w:hideMark/>
          </w:tcPr>
          <w:p w14:paraId="3EBBD971"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4791A77B"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84,4</w:t>
            </w:r>
          </w:p>
        </w:tc>
        <w:tc>
          <w:tcPr>
            <w:tcW w:w="1134" w:type="dxa"/>
            <w:tcBorders>
              <w:top w:val="nil"/>
              <w:left w:val="nil"/>
              <w:bottom w:val="single" w:sz="4" w:space="0" w:color="auto"/>
              <w:right w:val="single" w:sz="4" w:space="0" w:color="auto"/>
            </w:tcBorders>
            <w:shd w:val="clear" w:color="auto" w:fill="auto"/>
            <w:noWrap/>
            <w:vAlign w:val="bottom"/>
            <w:hideMark/>
          </w:tcPr>
          <w:p w14:paraId="39D2F4F2"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9,5</w:t>
            </w:r>
          </w:p>
        </w:tc>
        <w:tc>
          <w:tcPr>
            <w:tcW w:w="993" w:type="dxa"/>
            <w:tcBorders>
              <w:top w:val="nil"/>
              <w:left w:val="nil"/>
              <w:bottom w:val="single" w:sz="4" w:space="0" w:color="auto"/>
              <w:right w:val="single" w:sz="4" w:space="0" w:color="auto"/>
            </w:tcBorders>
            <w:shd w:val="clear" w:color="auto" w:fill="auto"/>
            <w:noWrap/>
            <w:vAlign w:val="bottom"/>
            <w:hideMark/>
          </w:tcPr>
          <w:p w14:paraId="6D0BCAE4"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2,6</w:t>
            </w:r>
          </w:p>
        </w:tc>
        <w:tc>
          <w:tcPr>
            <w:tcW w:w="708" w:type="dxa"/>
            <w:tcBorders>
              <w:top w:val="nil"/>
              <w:left w:val="nil"/>
              <w:bottom w:val="single" w:sz="4" w:space="0" w:color="auto"/>
              <w:right w:val="single" w:sz="4" w:space="0" w:color="auto"/>
            </w:tcBorders>
            <w:shd w:val="clear" w:color="auto" w:fill="auto"/>
            <w:noWrap/>
            <w:vAlign w:val="bottom"/>
            <w:hideMark/>
          </w:tcPr>
          <w:p w14:paraId="78738B01"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3,5</w:t>
            </w:r>
          </w:p>
        </w:tc>
        <w:tc>
          <w:tcPr>
            <w:tcW w:w="1418" w:type="dxa"/>
            <w:tcBorders>
              <w:top w:val="nil"/>
              <w:left w:val="nil"/>
              <w:bottom w:val="single" w:sz="4" w:space="0" w:color="auto"/>
              <w:right w:val="single" w:sz="4" w:space="0" w:color="auto"/>
            </w:tcBorders>
            <w:shd w:val="clear" w:color="auto" w:fill="auto"/>
            <w:noWrap/>
            <w:vAlign w:val="bottom"/>
            <w:hideMark/>
          </w:tcPr>
          <w:p w14:paraId="03A8A113"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17,6</w:t>
            </w:r>
          </w:p>
        </w:tc>
        <w:tc>
          <w:tcPr>
            <w:tcW w:w="1134" w:type="dxa"/>
            <w:tcBorders>
              <w:top w:val="nil"/>
              <w:left w:val="nil"/>
              <w:bottom w:val="single" w:sz="4" w:space="0" w:color="auto"/>
              <w:right w:val="single" w:sz="4" w:space="0" w:color="auto"/>
            </w:tcBorders>
            <w:shd w:val="clear" w:color="auto" w:fill="auto"/>
            <w:noWrap/>
            <w:vAlign w:val="bottom"/>
            <w:hideMark/>
          </w:tcPr>
          <w:p w14:paraId="7738052E"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31,1</w:t>
            </w:r>
          </w:p>
        </w:tc>
        <w:tc>
          <w:tcPr>
            <w:tcW w:w="844" w:type="dxa"/>
            <w:tcBorders>
              <w:top w:val="nil"/>
              <w:left w:val="nil"/>
              <w:bottom w:val="single" w:sz="4" w:space="0" w:color="auto"/>
              <w:right w:val="single" w:sz="4" w:space="0" w:color="auto"/>
            </w:tcBorders>
            <w:shd w:val="clear" w:color="auto" w:fill="auto"/>
            <w:noWrap/>
            <w:vAlign w:val="bottom"/>
            <w:hideMark/>
          </w:tcPr>
          <w:p w14:paraId="3B2BA727" w14:textId="77777777" w:rsidR="001B4ECB" w:rsidRPr="001B4ECB" w:rsidRDefault="001B4ECB" w:rsidP="001B4ECB">
            <w:pPr>
              <w:spacing w:after="0" w:line="240" w:lineRule="auto"/>
              <w:jc w:val="center"/>
              <w:rPr>
                <w:rFonts w:eastAsia="Times New Roman" w:cstheme="minorHAnsi"/>
                <w:sz w:val="18"/>
                <w:szCs w:val="18"/>
                <w:lang w:eastAsia="it-IT"/>
              </w:rPr>
            </w:pPr>
            <w:r w:rsidRPr="001B4ECB">
              <w:rPr>
                <w:rFonts w:eastAsia="Times New Roman" w:cstheme="minorHAnsi"/>
                <w:sz w:val="18"/>
                <w:szCs w:val="18"/>
                <w:lang w:eastAsia="it-IT"/>
              </w:rPr>
              <w:t>51,3</w:t>
            </w:r>
          </w:p>
        </w:tc>
      </w:tr>
    </w:tbl>
    <w:p w14:paraId="6B00BCA0" w14:textId="5AE90AB0" w:rsidR="00BB6E79" w:rsidRPr="00BB6E79" w:rsidRDefault="00BB6E79" w:rsidP="00B5555A">
      <w:pPr>
        <w:spacing w:after="0" w:line="240" w:lineRule="auto"/>
        <w:jc w:val="both"/>
        <w:rPr>
          <w:rFonts w:eastAsia="Aptos" w:cstheme="minorHAnsi"/>
          <w:i/>
          <w:iCs/>
          <w:kern w:val="2"/>
          <w:sz w:val="18"/>
          <w:szCs w:val="18"/>
          <w14:ligatures w14:val="standardContextual"/>
        </w:rPr>
      </w:pPr>
      <w:r w:rsidRPr="00BB6E79">
        <w:rPr>
          <w:rFonts w:eastAsia="Aptos" w:cstheme="minorHAnsi"/>
          <w:i/>
          <w:iCs/>
          <w:kern w:val="2"/>
          <w:sz w:val="18"/>
          <w:szCs w:val="18"/>
          <w14:ligatures w14:val="standardContextual"/>
        </w:rPr>
        <w:t>Fonte: ISTAT, Censimento permanente</w:t>
      </w:r>
      <w:r>
        <w:rPr>
          <w:rFonts w:eastAsia="Aptos" w:cstheme="minorHAnsi"/>
          <w:i/>
          <w:iCs/>
          <w:kern w:val="2"/>
          <w:sz w:val="18"/>
          <w:szCs w:val="18"/>
          <w14:ligatures w14:val="standardContextual"/>
        </w:rPr>
        <w:t xml:space="preserve"> </w:t>
      </w:r>
      <w:r w:rsidRPr="00BB6E79">
        <w:rPr>
          <w:rFonts w:eastAsia="Aptos" w:cstheme="minorHAnsi"/>
          <w:i/>
          <w:iCs/>
          <w:kern w:val="2"/>
          <w:sz w:val="18"/>
          <w:szCs w:val="18"/>
          <w14:ligatures w14:val="standardContextual"/>
        </w:rPr>
        <w:t>delle imprese 2023: primi risultati</w:t>
      </w:r>
      <w:r>
        <w:rPr>
          <w:rFonts w:eastAsia="Aptos" w:cstheme="minorHAnsi"/>
          <w:i/>
          <w:iCs/>
          <w:kern w:val="2"/>
          <w:sz w:val="18"/>
          <w:szCs w:val="18"/>
          <w14:ligatures w14:val="standardContextual"/>
        </w:rPr>
        <w:t>, Novembre 2023</w:t>
      </w:r>
    </w:p>
    <w:p w14:paraId="514880C8" w14:textId="59D4FE98" w:rsidR="00B5555A" w:rsidRDefault="00B5555A" w:rsidP="00B5555A">
      <w:pPr>
        <w:spacing w:after="120" w:line="240" w:lineRule="auto"/>
        <w:jc w:val="both"/>
        <w:rPr>
          <w:rFonts w:eastAsia="Aptos" w:cstheme="minorHAnsi"/>
          <w:kern w:val="2"/>
          <w:sz w:val="16"/>
          <w:szCs w:val="16"/>
          <w14:ligatures w14:val="standardContextual"/>
        </w:rPr>
      </w:pPr>
      <w:r>
        <w:rPr>
          <w:rFonts w:eastAsia="Aptos" w:cstheme="minorHAnsi"/>
          <w:kern w:val="2"/>
          <w:sz w:val="16"/>
          <w:szCs w:val="16"/>
          <w14:ligatures w14:val="standardContextual"/>
        </w:rPr>
        <w:t>Nota: per “Totale” si intendono tutte per imprese per settore/attività produttiva</w:t>
      </w:r>
    </w:p>
    <w:p w14:paraId="66D0899C" w14:textId="77777777" w:rsidR="00B5555A" w:rsidRPr="00B5555A" w:rsidRDefault="00B5555A" w:rsidP="00B5555A">
      <w:pPr>
        <w:spacing w:after="120" w:line="276" w:lineRule="auto"/>
        <w:jc w:val="both"/>
        <w:rPr>
          <w:rFonts w:eastAsia="Aptos" w:cstheme="minorHAnsi"/>
          <w:kern w:val="2"/>
          <w14:ligatures w14:val="standardContextual"/>
        </w:rPr>
      </w:pPr>
    </w:p>
    <w:p w14:paraId="18E1A099" w14:textId="377B257C" w:rsidR="00B95D97" w:rsidRPr="006438FB" w:rsidRDefault="007E744D" w:rsidP="006438FB">
      <w:pPr>
        <w:pStyle w:val="Titolo2"/>
        <w:jc w:val="both"/>
        <w:rPr>
          <w:rFonts w:cstheme="minorHAnsi"/>
          <w:b/>
          <w:sz w:val="24"/>
          <w:szCs w:val="24"/>
        </w:rPr>
      </w:pPr>
      <w:bookmarkStart w:id="5" w:name="_Toc192061646"/>
      <w:r w:rsidRPr="006438FB">
        <w:rPr>
          <w:rFonts w:cstheme="minorHAnsi"/>
          <w:b/>
          <w:sz w:val="24"/>
          <w:szCs w:val="24"/>
        </w:rPr>
        <w:lastRenderedPageBreak/>
        <w:t>L</w:t>
      </w:r>
      <w:r w:rsidR="000B1984">
        <w:rPr>
          <w:rFonts w:cstheme="minorHAnsi"/>
          <w:b/>
          <w:sz w:val="24"/>
          <w:szCs w:val="24"/>
        </w:rPr>
        <w:t>O</w:t>
      </w:r>
      <w:r w:rsidR="005529A1">
        <w:rPr>
          <w:rFonts w:cstheme="minorHAnsi"/>
          <w:b/>
          <w:sz w:val="24"/>
          <w:szCs w:val="24"/>
        </w:rPr>
        <w:t xml:space="preserve"> </w:t>
      </w:r>
      <w:r w:rsidR="00662E57">
        <w:rPr>
          <w:rFonts w:cstheme="minorHAnsi"/>
          <w:b/>
          <w:sz w:val="24"/>
          <w:szCs w:val="24"/>
        </w:rPr>
        <w:t xml:space="preserve">STRUMENTO REGIONALE </w:t>
      </w:r>
      <w:r w:rsidR="004648B7">
        <w:rPr>
          <w:rFonts w:cstheme="minorHAnsi"/>
          <w:b/>
          <w:sz w:val="24"/>
          <w:szCs w:val="24"/>
        </w:rPr>
        <w:t>PER FAVORIRE LA CAPITALIZZAZIONE DELLE IMPRESE</w:t>
      </w:r>
      <w:r w:rsidR="00662E57">
        <w:rPr>
          <w:rFonts w:cstheme="minorHAnsi"/>
          <w:b/>
          <w:sz w:val="24"/>
          <w:szCs w:val="24"/>
        </w:rPr>
        <w:t xml:space="preserve"> ATTIVATO NEL 2021</w:t>
      </w:r>
      <w:bookmarkEnd w:id="5"/>
    </w:p>
    <w:p w14:paraId="33284801" w14:textId="2447AD7D" w:rsidR="00A80895" w:rsidRPr="00A80895" w:rsidRDefault="00A80895" w:rsidP="00A80895">
      <w:pPr>
        <w:spacing w:after="120" w:line="276" w:lineRule="auto"/>
        <w:jc w:val="both"/>
        <w:rPr>
          <w:rFonts w:eastAsia="Aptos" w:cstheme="minorHAnsi"/>
          <w:kern w:val="2"/>
          <w14:ligatures w14:val="standardContextual"/>
        </w:rPr>
      </w:pPr>
      <w:r w:rsidRPr="00A80895">
        <w:rPr>
          <w:rFonts w:eastAsia="Aptos" w:cstheme="minorHAnsi"/>
          <w:bCs/>
          <w:iCs/>
          <w:kern w:val="2"/>
          <w14:ligatures w14:val="standardContextual"/>
        </w:rPr>
        <w:t>Attraverso la LR 33 del 2 dicembre 2021, art. 12</w:t>
      </w:r>
      <w:r w:rsidR="00AE2701">
        <w:rPr>
          <w:rFonts w:eastAsia="Aptos" w:cstheme="minorHAnsi"/>
          <w:bCs/>
          <w:iCs/>
          <w:kern w:val="2"/>
          <w14:ligatures w14:val="standardContextual"/>
        </w:rPr>
        <w:t xml:space="preserve"> della</w:t>
      </w:r>
      <w:r w:rsidRPr="00A80895">
        <w:rPr>
          <w:rFonts w:eastAsia="Aptos" w:cstheme="minorHAnsi"/>
          <w:bCs/>
          <w:iCs/>
          <w:kern w:val="2"/>
          <w14:ligatures w14:val="standardContextual"/>
        </w:rPr>
        <w:t xml:space="preserve"> DGR 1572 del 13 dicembre 2021 “Misure Urgenti per il sostegno alle attività produttive a seguito dell’emergenza epidemiologica </w:t>
      </w:r>
      <w:proofErr w:type="spellStart"/>
      <w:r w:rsidRPr="00A80895">
        <w:rPr>
          <w:rFonts w:eastAsia="Aptos" w:cstheme="minorHAnsi"/>
          <w:bCs/>
          <w:iCs/>
          <w:kern w:val="2"/>
          <w14:ligatures w14:val="standardContextual"/>
        </w:rPr>
        <w:t>Covid</w:t>
      </w:r>
      <w:proofErr w:type="spellEnd"/>
      <w:r w:rsidRPr="00A80895">
        <w:rPr>
          <w:rFonts w:eastAsia="Aptos" w:cstheme="minorHAnsi"/>
          <w:bCs/>
          <w:iCs/>
          <w:kern w:val="2"/>
          <w14:ligatures w14:val="standardContextual"/>
        </w:rPr>
        <w:t>–19” – DDS PLI n. 850 del 30/12/2021 è stat</w:t>
      </w:r>
      <w:r w:rsidR="00A502C1">
        <w:rPr>
          <w:rFonts w:eastAsia="Aptos" w:cstheme="minorHAnsi"/>
          <w:bCs/>
          <w:iCs/>
          <w:kern w:val="2"/>
          <w14:ligatures w14:val="standardContextual"/>
        </w:rPr>
        <w:t>o</w:t>
      </w:r>
      <w:r w:rsidRPr="00A80895">
        <w:rPr>
          <w:rFonts w:eastAsia="Aptos" w:cstheme="minorHAnsi"/>
          <w:bCs/>
          <w:iCs/>
          <w:kern w:val="2"/>
          <w14:ligatures w14:val="standardContextual"/>
        </w:rPr>
        <w:t xml:space="preserve"> sviluppato l’intervento “</w:t>
      </w:r>
      <w:r w:rsidRPr="00F9245E">
        <w:rPr>
          <w:rFonts w:eastAsia="Aptos" w:cstheme="minorHAnsi"/>
          <w:bCs/>
          <w:i/>
          <w:kern w:val="2"/>
          <w14:ligatures w14:val="standardContextual"/>
        </w:rPr>
        <w:t>Concessione di contributi per la capitalizzazione e patrimonializzazione delle piccole e microimprese a sostegno della ripresa produttiva</w:t>
      </w:r>
      <w:r w:rsidRPr="00A80895">
        <w:rPr>
          <w:rFonts w:eastAsia="Aptos" w:cstheme="minorHAnsi"/>
          <w:bCs/>
          <w:iCs/>
          <w:kern w:val="2"/>
          <w14:ligatures w14:val="standardContextual"/>
        </w:rPr>
        <w:t>”</w:t>
      </w:r>
      <w:r w:rsidR="00F237EE">
        <w:rPr>
          <w:rStyle w:val="Rimandonotaapidipagina"/>
          <w:rFonts w:eastAsia="Aptos" w:cstheme="minorHAnsi"/>
          <w:bCs/>
          <w:iCs/>
          <w:kern w:val="2"/>
          <w14:ligatures w14:val="standardContextual"/>
        </w:rPr>
        <w:footnoteReference w:id="9"/>
      </w:r>
      <w:r w:rsidR="0013342E">
        <w:rPr>
          <w:rFonts w:eastAsia="Aptos" w:cstheme="minorHAnsi"/>
          <w:bCs/>
          <w:iCs/>
          <w:kern w:val="2"/>
          <w14:ligatures w14:val="standardContextual"/>
        </w:rPr>
        <w:t xml:space="preserve">. </w:t>
      </w:r>
      <w:r w:rsidRPr="00A80895">
        <w:rPr>
          <w:rFonts w:eastAsia="Aptos" w:cstheme="minorHAnsi"/>
          <w:kern w:val="2"/>
          <w14:ligatures w14:val="standardContextual"/>
        </w:rPr>
        <w:t xml:space="preserve">Con Decreto del Servizio “Attività produttive, Lavoro e Istruzione” n. 850/2021 è stato emanato il bando finalizzato alla patrimonializzazione delle PMI marchigiane, sia per quelle già costituite sotto forma di società di capitali </w:t>
      </w:r>
      <w:r w:rsidR="00A502C1">
        <w:rPr>
          <w:rFonts w:eastAsia="Aptos" w:cstheme="minorHAnsi"/>
          <w:kern w:val="2"/>
          <w14:ligatures w14:val="standardContextual"/>
        </w:rPr>
        <w:t>che</w:t>
      </w:r>
      <w:r w:rsidRPr="00A80895">
        <w:rPr>
          <w:rFonts w:eastAsia="Aptos" w:cstheme="minorHAnsi"/>
          <w:kern w:val="2"/>
          <w14:ligatures w14:val="standardContextual"/>
        </w:rPr>
        <w:t xml:space="preserve"> per </w:t>
      </w:r>
      <w:r w:rsidR="00A502C1">
        <w:rPr>
          <w:rFonts w:eastAsia="Aptos" w:cstheme="minorHAnsi"/>
          <w:kern w:val="2"/>
          <w14:ligatures w14:val="standardContextual"/>
        </w:rPr>
        <w:t xml:space="preserve">quelle </w:t>
      </w:r>
      <w:r w:rsidRPr="00A80895">
        <w:rPr>
          <w:rFonts w:eastAsia="Aptos" w:cstheme="minorHAnsi"/>
          <w:kern w:val="2"/>
          <w14:ligatures w14:val="standardContextual"/>
        </w:rPr>
        <w:t>con l’obbligo di trasformazione/conferimento in società di capitali.</w:t>
      </w:r>
    </w:p>
    <w:p w14:paraId="0B6AFB79" w14:textId="7FE60552" w:rsidR="00DB4315" w:rsidRDefault="0013342E" w:rsidP="00A80895">
      <w:pPr>
        <w:spacing w:after="120" w:line="276" w:lineRule="auto"/>
        <w:jc w:val="both"/>
        <w:rPr>
          <w:rFonts w:eastAsia="Aptos" w:cstheme="minorHAnsi"/>
          <w:kern w:val="2"/>
          <w14:ligatures w14:val="standardContextual"/>
        </w:rPr>
      </w:pPr>
      <w:r>
        <w:rPr>
          <w:rFonts w:eastAsia="Aptos" w:cstheme="minorHAnsi"/>
          <w:kern w:val="2"/>
          <w14:ligatures w14:val="standardContextual"/>
        </w:rPr>
        <w:t>L’iniziativa ha previsto, n</w:t>
      </w:r>
      <w:r w:rsidR="00A80895" w:rsidRPr="00A80895">
        <w:rPr>
          <w:rFonts w:eastAsia="Aptos" w:cstheme="minorHAnsi"/>
          <w:kern w:val="2"/>
          <w14:ligatures w14:val="standardContextual"/>
        </w:rPr>
        <w:t xml:space="preserve">ell’ambito del regime di </w:t>
      </w:r>
      <w:r w:rsidR="00A80895" w:rsidRPr="0016008F">
        <w:rPr>
          <w:rFonts w:eastAsia="Aptos" w:cstheme="minorHAnsi"/>
          <w:i/>
          <w:iCs/>
          <w:kern w:val="2"/>
          <w14:ligatures w14:val="standardContextual"/>
        </w:rPr>
        <w:t>Temporary Framework</w:t>
      </w:r>
      <w:r w:rsidR="005529A1">
        <w:rPr>
          <w:rStyle w:val="Rimandonotaapidipagina"/>
          <w:rFonts w:eastAsia="Aptos" w:cstheme="minorHAnsi"/>
          <w:kern w:val="2"/>
          <w14:ligatures w14:val="standardContextual"/>
        </w:rPr>
        <w:footnoteReference w:id="10"/>
      </w:r>
      <w:r w:rsidR="00A80895" w:rsidRPr="00A80895">
        <w:rPr>
          <w:rFonts w:eastAsia="Aptos" w:cstheme="minorHAnsi"/>
          <w:kern w:val="2"/>
          <w14:ligatures w14:val="standardContextual"/>
        </w:rPr>
        <w:t xml:space="preserve"> collegato all’emergenza epidemiologica Covid-19</w:t>
      </w:r>
      <w:r>
        <w:rPr>
          <w:rFonts w:eastAsia="Aptos" w:cstheme="minorHAnsi"/>
          <w:kern w:val="2"/>
          <w14:ligatures w14:val="standardContextual"/>
        </w:rPr>
        <w:t>,</w:t>
      </w:r>
      <w:r w:rsidR="00A80895" w:rsidRPr="00A80895">
        <w:rPr>
          <w:rFonts w:eastAsia="Aptos" w:cstheme="minorHAnsi"/>
          <w:kern w:val="2"/>
          <w14:ligatures w14:val="standardContextual"/>
        </w:rPr>
        <w:t xml:space="preserve"> </w:t>
      </w:r>
      <w:r>
        <w:rPr>
          <w:rFonts w:eastAsia="Aptos" w:cstheme="minorHAnsi"/>
          <w:kern w:val="2"/>
          <w14:ligatures w14:val="standardContextual"/>
        </w:rPr>
        <w:t xml:space="preserve">la possibilità di accedere a un </w:t>
      </w:r>
      <w:r w:rsidR="00A80895" w:rsidRPr="00A80895">
        <w:rPr>
          <w:rFonts w:eastAsia="Aptos" w:cstheme="minorHAnsi"/>
          <w:kern w:val="2"/>
          <w14:ligatures w14:val="standardContextual"/>
        </w:rPr>
        <w:t xml:space="preserve">contributo regionale pari al 50% dell’aumento di capitale effettuato dall’impresa successivamente alla domanda presentata ai Confidi </w:t>
      </w:r>
      <w:r>
        <w:rPr>
          <w:rFonts w:eastAsia="Aptos" w:cstheme="minorHAnsi"/>
          <w:kern w:val="2"/>
          <w14:ligatures w14:val="standardContextual"/>
        </w:rPr>
        <w:t>(</w:t>
      </w:r>
      <w:r w:rsidR="00A80895" w:rsidRPr="00A80895">
        <w:rPr>
          <w:rFonts w:eastAsia="Aptos" w:cstheme="minorHAnsi"/>
          <w:kern w:val="2"/>
          <w14:ligatures w14:val="standardContextual"/>
        </w:rPr>
        <w:t>gestori dell’intervento</w:t>
      </w:r>
      <w:r>
        <w:rPr>
          <w:rFonts w:eastAsia="Aptos" w:cstheme="minorHAnsi"/>
          <w:kern w:val="2"/>
          <w14:ligatures w14:val="standardContextual"/>
        </w:rPr>
        <w:t>)</w:t>
      </w:r>
      <w:r w:rsidR="00A80895" w:rsidRPr="00A80895">
        <w:rPr>
          <w:rFonts w:eastAsia="Aptos" w:cstheme="minorHAnsi"/>
          <w:kern w:val="2"/>
          <w14:ligatures w14:val="standardContextual"/>
        </w:rPr>
        <w:t xml:space="preserve"> con un aumento di capitale</w:t>
      </w:r>
      <w:r>
        <w:rPr>
          <w:rFonts w:eastAsia="Aptos" w:cstheme="minorHAnsi"/>
          <w:kern w:val="2"/>
          <w14:ligatures w14:val="standardContextual"/>
        </w:rPr>
        <w:t xml:space="preserve"> </w:t>
      </w:r>
      <w:r w:rsidRPr="00A80895">
        <w:rPr>
          <w:rFonts w:eastAsia="Aptos" w:cstheme="minorHAnsi"/>
          <w:kern w:val="2"/>
          <w14:ligatures w14:val="standardContextual"/>
        </w:rPr>
        <w:t>minimo</w:t>
      </w:r>
      <w:r w:rsidR="00A80895" w:rsidRPr="00A80895">
        <w:rPr>
          <w:rFonts w:eastAsia="Aptos" w:cstheme="minorHAnsi"/>
          <w:kern w:val="2"/>
          <w14:ligatures w14:val="standardContextual"/>
        </w:rPr>
        <w:t xml:space="preserve"> di € 10.000,00 e un contributo massimo pari a € 25.000,00 per singola impresa.</w:t>
      </w:r>
      <w:r w:rsidR="003B4BF2">
        <w:rPr>
          <w:rFonts w:eastAsia="Aptos" w:cstheme="minorHAnsi"/>
          <w:kern w:val="2"/>
          <w14:ligatures w14:val="standardContextual"/>
        </w:rPr>
        <w:t xml:space="preserve"> </w:t>
      </w:r>
      <w:r w:rsidR="0016008F">
        <w:rPr>
          <w:rFonts w:eastAsia="Aptos" w:cstheme="minorHAnsi"/>
          <w:kern w:val="2"/>
          <w14:ligatures w14:val="standardContextual"/>
        </w:rPr>
        <w:t xml:space="preserve">La dotazione finanziaria complessiva dell’intervento è stata di 6 </w:t>
      </w:r>
      <w:proofErr w:type="spellStart"/>
      <w:r w:rsidR="00072512">
        <w:rPr>
          <w:rFonts w:eastAsia="Aptos" w:cstheme="minorHAnsi"/>
          <w:kern w:val="2"/>
          <w14:ligatures w14:val="standardContextual"/>
        </w:rPr>
        <w:t>m</w:t>
      </w:r>
      <w:r w:rsidR="0016008F">
        <w:rPr>
          <w:rFonts w:eastAsia="Aptos" w:cstheme="minorHAnsi"/>
          <w:kern w:val="2"/>
          <w14:ligatures w14:val="standardContextual"/>
        </w:rPr>
        <w:t>euro</w:t>
      </w:r>
      <w:proofErr w:type="spellEnd"/>
      <w:r w:rsidR="0016008F">
        <w:rPr>
          <w:rFonts w:eastAsia="Aptos" w:cstheme="minorHAnsi"/>
          <w:kern w:val="2"/>
          <w14:ligatures w14:val="standardContextual"/>
        </w:rPr>
        <w:t>.</w:t>
      </w:r>
    </w:p>
    <w:p w14:paraId="628F041C" w14:textId="04F67EE9" w:rsidR="00A502C1" w:rsidRDefault="0016008F" w:rsidP="00A80895">
      <w:pPr>
        <w:spacing w:after="120" w:line="276" w:lineRule="auto"/>
        <w:jc w:val="both"/>
        <w:rPr>
          <w:rFonts w:eastAsia="Aptos" w:cstheme="minorHAnsi"/>
          <w:kern w:val="2"/>
          <w14:ligatures w14:val="standardContextual"/>
        </w:rPr>
      </w:pPr>
      <w:r>
        <w:rPr>
          <w:rFonts w:eastAsia="Aptos" w:cstheme="minorHAnsi"/>
          <w:kern w:val="2"/>
          <w14:ligatures w14:val="standardContextual"/>
        </w:rPr>
        <w:t xml:space="preserve">Dall’ultimo monitoraggio effettuato </w:t>
      </w:r>
      <w:r w:rsidR="00DB4315">
        <w:rPr>
          <w:rFonts w:eastAsia="Aptos" w:cstheme="minorHAnsi"/>
          <w:kern w:val="2"/>
          <w14:ligatures w14:val="standardContextual"/>
        </w:rPr>
        <w:t xml:space="preserve">da Regione Marche </w:t>
      </w:r>
      <w:r>
        <w:rPr>
          <w:rFonts w:eastAsia="Aptos" w:cstheme="minorHAnsi"/>
          <w:kern w:val="2"/>
          <w14:ligatures w14:val="standardContextual"/>
        </w:rPr>
        <w:t xml:space="preserve">(aprile 2024) è risultato un importo di spesa di poco meno di 6 milioni per un totale di contributi erogati di </w:t>
      </w:r>
      <w:r w:rsidRPr="0016008F">
        <w:rPr>
          <w:rFonts w:eastAsia="Aptos" w:cstheme="minorHAnsi"/>
          <w:kern w:val="2"/>
          <w14:ligatures w14:val="standardContextual"/>
        </w:rPr>
        <w:t>5.985.598,10 €</w:t>
      </w:r>
      <w:r>
        <w:rPr>
          <w:rFonts w:eastAsia="Aptos" w:cstheme="minorHAnsi"/>
          <w:kern w:val="2"/>
          <w14:ligatures w14:val="standardContextual"/>
        </w:rPr>
        <w:t xml:space="preserve"> per un totale di 263 imprese coinvolte. Complessivamente l’aumento di capitale è stato di circa 12,147 milioni di euro.</w:t>
      </w:r>
    </w:p>
    <w:p w14:paraId="75CF643A" w14:textId="4AAD136C" w:rsidR="00A502C1" w:rsidRPr="00A502C1" w:rsidRDefault="00A502C1" w:rsidP="00A502C1">
      <w:pPr>
        <w:spacing w:after="0" w:line="240" w:lineRule="auto"/>
        <w:ind w:left="1560"/>
        <w:jc w:val="both"/>
        <w:rPr>
          <w:rFonts w:eastAsia="Aptos" w:cstheme="minorHAnsi"/>
          <w:i/>
          <w:iCs/>
          <w:kern w:val="2"/>
          <w:sz w:val="20"/>
          <w:szCs w:val="20"/>
          <w14:ligatures w14:val="standardContextual"/>
        </w:rPr>
      </w:pPr>
      <w:proofErr w:type="spellStart"/>
      <w:r w:rsidRPr="00A502C1">
        <w:rPr>
          <w:rFonts w:eastAsia="Aptos" w:cstheme="minorHAnsi"/>
          <w:i/>
          <w:iCs/>
          <w:kern w:val="2"/>
          <w:sz w:val="20"/>
          <w:szCs w:val="20"/>
          <w14:ligatures w14:val="standardContextual"/>
        </w:rPr>
        <w:t>Tab</w:t>
      </w:r>
      <w:proofErr w:type="spellEnd"/>
      <w:r w:rsidRPr="00A502C1">
        <w:rPr>
          <w:rFonts w:eastAsia="Aptos" w:cstheme="minorHAnsi"/>
          <w:i/>
          <w:iCs/>
          <w:kern w:val="2"/>
          <w:sz w:val="20"/>
          <w:szCs w:val="20"/>
          <w14:ligatures w14:val="standardContextual"/>
        </w:rPr>
        <w:t xml:space="preserve">. </w:t>
      </w:r>
      <w:r w:rsidR="005C77DE">
        <w:rPr>
          <w:rFonts w:eastAsia="Aptos" w:cstheme="minorHAnsi"/>
          <w:i/>
          <w:iCs/>
          <w:kern w:val="2"/>
          <w:sz w:val="20"/>
          <w:szCs w:val="20"/>
          <w14:ligatures w14:val="standardContextual"/>
        </w:rPr>
        <w:t>7</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Principali dati sull’operatività del Fondo</w:t>
      </w:r>
    </w:p>
    <w:tbl>
      <w:tblPr>
        <w:tblStyle w:val="Grigliatabella"/>
        <w:tblW w:w="0" w:type="auto"/>
        <w:jc w:val="center"/>
        <w:tblLook w:val="04A0" w:firstRow="1" w:lastRow="0" w:firstColumn="1" w:lastColumn="0" w:noHBand="0" w:noVBand="1"/>
      </w:tblPr>
      <w:tblGrid>
        <w:gridCol w:w="3543"/>
        <w:gridCol w:w="2973"/>
      </w:tblGrid>
      <w:tr w:rsidR="00A80895" w:rsidRPr="00A80895" w14:paraId="36FE4BC7" w14:textId="77777777" w:rsidTr="00674EB2">
        <w:trPr>
          <w:trHeight w:val="63"/>
          <w:tblHeader/>
          <w:jc w:val="center"/>
        </w:trPr>
        <w:tc>
          <w:tcPr>
            <w:tcW w:w="3543" w:type="dxa"/>
            <w:shd w:val="clear" w:color="auto" w:fill="2F5496" w:themeFill="accent1" w:themeFillShade="BF"/>
          </w:tcPr>
          <w:p w14:paraId="5BAEBEE4" w14:textId="20CACD94" w:rsidR="00A80895" w:rsidRPr="00A80895" w:rsidRDefault="00A80895" w:rsidP="00A80895">
            <w:pPr>
              <w:jc w:val="center"/>
              <w:rPr>
                <w:rFonts w:eastAsia="Aptos" w:cstheme="minorHAnsi"/>
                <w:b/>
                <w:color w:val="FFFFFF" w:themeColor="background1"/>
                <w:kern w:val="2"/>
                <w:sz w:val="20"/>
                <w:szCs w:val="20"/>
                <w14:ligatures w14:val="standardContextual"/>
              </w:rPr>
            </w:pPr>
            <w:r w:rsidRPr="00A80895">
              <w:rPr>
                <w:rFonts w:eastAsia="Aptos" w:cstheme="minorHAnsi"/>
                <w:b/>
                <w:color w:val="FFFFFF" w:themeColor="background1"/>
                <w:kern w:val="2"/>
                <w:sz w:val="20"/>
                <w:szCs w:val="20"/>
                <w14:ligatures w14:val="standardContextual"/>
              </w:rPr>
              <w:t>Voce</w:t>
            </w:r>
          </w:p>
        </w:tc>
        <w:tc>
          <w:tcPr>
            <w:tcW w:w="2973" w:type="dxa"/>
            <w:shd w:val="clear" w:color="auto" w:fill="2F5496" w:themeFill="accent1" w:themeFillShade="BF"/>
          </w:tcPr>
          <w:p w14:paraId="59DE0F50" w14:textId="77777777" w:rsidR="00A80895" w:rsidRPr="00A80895" w:rsidRDefault="00A80895" w:rsidP="00A80895">
            <w:pPr>
              <w:jc w:val="center"/>
              <w:rPr>
                <w:rFonts w:eastAsia="Aptos" w:cstheme="minorHAnsi"/>
                <w:b/>
                <w:color w:val="FFFFFF" w:themeColor="background1"/>
                <w:kern w:val="2"/>
                <w:sz w:val="20"/>
                <w:szCs w:val="20"/>
                <w14:ligatures w14:val="standardContextual"/>
              </w:rPr>
            </w:pPr>
            <w:r w:rsidRPr="00A80895">
              <w:rPr>
                <w:rFonts w:eastAsia="Aptos" w:cstheme="minorHAnsi"/>
                <w:b/>
                <w:color w:val="FFFFFF" w:themeColor="background1"/>
                <w:kern w:val="2"/>
                <w:sz w:val="20"/>
                <w:szCs w:val="20"/>
                <w14:ligatures w14:val="standardContextual"/>
              </w:rPr>
              <w:t>Importo</w:t>
            </w:r>
          </w:p>
        </w:tc>
      </w:tr>
      <w:tr w:rsidR="00A80895" w:rsidRPr="00A80895" w14:paraId="22B9FA2F" w14:textId="77777777" w:rsidTr="00A80895">
        <w:trPr>
          <w:trHeight w:val="58"/>
          <w:jc w:val="center"/>
        </w:trPr>
        <w:tc>
          <w:tcPr>
            <w:tcW w:w="3543" w:type="dxa"/>
          </w:tcPr>
          <w:p w14:paraId="54ADD15B" w14:textId="05D26E0D" w:rsidR="00A80895" w:rsidRPr="00C7136C" w:rsidRDefault="00A80895" w:rsidP="00A80895">
            <w:pPr>
              <w:jc w:val="both"/>
              <w:rPr>
                <w:rFonts w:eastAsia="Aptos" w:cstheme="minorHAnsi"/>
                <w:kern w:val="2"/>
                <w:szCs w:val="20"/>
                <w14:ligatures w14:val="standardContextual"/>
              </w:rPr>
            </w:pPr>
            <w:r w:rsidRPr="00C7136C">
              <w:rPr>
                <w:rFonts w:eastAsia="Aptos" w:cstheme="minorHAnsi"/>
                <w:kern w:val="2"/>
                <w:szCs w:val="20"/>
                <w14:ligatures w14:val="standardContextual"/>
              </w:rPr>
              <w:t xml:space="preserve">Dotazione </w:t>
            </w:r>
            <w:r w:rsidR="0016008F" w:rsidRPr="00C7136C">
              <w:rPr>
                <w:rFonts w:eastAsia="Aptos" w:cstheme="minorHAnsi"/>
                <w:kern w:val="2"/>
                <w:szCs w:val="20"/>
                <w14:ligatures w14:val="standardContextual"/>
              </w:rPr>
              <w:t>finanziaria</w:t>
            </w:r>
          </w:p>
        </w:tc>
        <w:tc>
          <w:tcPr>
            <w:tcW w:w="2973" w:type="dxa"/>
          </w:tcPr>
          <w:p w14:paraId="2B457583" w14:textId="64A2482E" w:rsidR="00A80895" w:rsidRPr="00C7136C" w:rsidRDefault="00A80895" w:rsidP="00A80895">
            <w:pPr>
              <w:jc w:val="center"/>
              <w:rPr>
                <w:rFonts w:eastAsia="Aptos" w:cstheme="minorHAnsi"/>
                <w:kern w:val="2"/>
                <w:szCs w:val="20"/>
                <w14:ligatures w14:val="standardContextual"/>
              </w:rPr>
            </w:pPr>
            <w:r w:rsidRPr="00C7136C">
              <w:rPr>
                <w:rFonts w:eastAsia="Aptos" w:cstheme="minorHAnsi"/>
                <w:kern w:val="2"/>
                <w:szCs w:val="20"/>
                <w14:ligatures w14:val="standardContextual"/>
              </w:rPr>
              <w:t>6.000.000,00</w:t>
            </w:r>
            <w:r w:rsidR="00F951C8" w:rsidRPr="00C7136C">
              <w:rPr>
                <w:rFonts w:eastAsia="Aptos" w:cstheme="minorHAnsi"/>
                <w:kern w:val="2"/>
                <w:szCs w:val="20"/>
                <w14:ligatures w14:val="standardContextual"/>
              </w:rPr>
              <w:t xml:space="preserve"> €</w:t>
            </w:r>
          </w:p>
        </w:tc>
      </w:tr>
      <w:tr w:rsidR="00A80895" w:rsidRPr="00A80895" w14:paraId="24BDB3AB" w14:textId="77777777" w:rsidTr="00A80895">
        <w:trPr>
          <w:jc w:val="center"/>
        </w:trPr>
        <w:tc>
          <w:tcPr>
            <w:tcW w:w="3543" w:type="dxa"/>
          </w:tcPr>
          <w:p w14:paraId="53BF9D83" w14:textId="77777777" w:rsidR="00A80895" w:rsidRPr="00C7136C" w:rsidRDefault="00A80895" w:rsidP="00A80895">
            <w:pPr>
              <w:jc w:val="both"/>
              <w:rPr>
                <w:rFonts w:eastAsia="Aptos" w:cstheme="minorHAnsi"/>
                <w:kern w:val="2"/>
                <w:szCs w:val="20"/>
                <w14:ligatures w14:val="standardContextual"/>
              </w:rPr>
            </w:pPr>
            <w:r w:rsidRPr="00C7136C">
              <w:rPr>
                <w:rFonts w:eastAsia="Aptos" w:cstheme="minorHAnsi"/>
                <w:kern w:val="2"/>
                <w:szCs w:val="20"/>
                <w14:ligatures w14:val="standardContextual"/>
              </w:rPr>
              <w:t>Importo spesa</w:t>
            </w:r>
          </w:p>
        </w:tc>
        <w:tc>
          <w:tcPr>
            <w:tcW w:w="2973" w:type="dxa"/>
          </w:tcPr>
          <w:p w14:paraId="790A8C85" w14:textId="34963BE2" w:rsidR="00A80895" w:rsidRPr="00C7136C" w:rsidRDefault="00A80895" w:rsidP="00A80895">
            <w:pPr>
              <w:jc w:val="center"/>
              <w:rPr>
                <w:rFonts w:eastAsia="Aptos" w:cstheme="minorHAnsi"/>
                <w:kern w:val="2"/>
                <w:szCs w:val="20"/>
                <w14:ligatures w14:val="standardContextual"/>
              </w:rPr>
            </w:pPr>
            <w:r w:rsidRPr="00C7136C">
              <w:rPr>
                <w:rFonts w:eastAsia="Aptos" w:cstheme="minorHAnsi"/>
                <w:kern w:val="2"/>
                <w:szCs w:val="20"/>
                <w14:ligatures w14:val="standardContextual"/>
              </w:rPr>
              <w:t>5.995.653,38</w:t>
            </w:r>
            <w:r w:rsidR="00F951C8" w:rsidRPr="00C7136C">
              <w:rPr>
                <w:rFonts w:eastAsia="Aptos" w:cstheme="minorHAnsi"/>
                <w:kern w:val="2"/>
                <w:szCs w:val="20"/>
                <w14:ligatures w14:val="standardContextual"/>
              </w:rPr>
              <w:t xml:space="preserve"> €</w:t>
            </w:r>
            <w:r w:rsidRPr="00C7136C">
              <w:rPr>
                <w:rFonts w:eastAsia="Aptos" w:cstheme="minorHAnsi"/>
                <w:kern w:val="2"/>
                <w:szCs w:val="20"/>
                <w14:ligatures w14:val="standardContextual"/>
              </w:rPr>
              <w:t xml:space="preserve"> [*]</w:t>
            </w:r>
          </w:p>
        </w:tc>
      </w:tr>
      <w:tr w:rsidR="00A80895" w:rsidRPr="00A80895" w14:paraId="6A5A5E22" w14:textId="77777777" w:rsidTr="00A80895">
        <w:trPr>
          <w:jc w:val="center"/>
        </w:trPr>
        <w:tc>
          <w:tcPr>
            <w:tcW w:w="3543" w:type="dxa"/>
          </w:tcPr>
          <w:p w14:paraId="1CA26996" w14:textId="1D460C54" w:rsidR="00A80895" w:rsidRPr="00C7136C" w:rsidRDefault="00A80895" w:rsidP="00A80895">
            <w:pPr>
              <w:jc w:val="both"/>
              <w:rPr>
                <w:rFonts w:eastAsia="Aptos" w:cstheme="minorHAnsi"/>
                <w:kern w:val="2"/>
                <w:szCs w:val="20"/>
                <w14:ligatures w14:val="standardContextual"/>
              </w:rPr>
            </w:pPr>
            <w:r w:rsidRPr="00C7136C">
              <w:rPr>
                <w:rFonts w:eastAsia="Aptos" w:cstheme="minorHAnsi"/>
                <w:kern w:val="2"/>
                <w:szCs w:val="20"/>
                <w14:ligatures w14:val="standardContextual"/>
              </w:rPr>
              <w:t>Contributi erogati</w:t>
            </w:r>
          </w:p>
        </w:tc>
        <w:tc>
          <w:tcPr>
            <w:tcW w:w="2973" w:type="dxa"/>
          </w:tcPr>
          <w:p w14:paraId="1DB95764" w14:textId="742B605D" w:rsidR="00A80895" w:rsidRPr="00C7136C" w:rsidRDefault="00A80895" w:rsidP="00A80895">
            <w:pPr>
              <w:jc w:val="center"/>
              <w:rPr>
                <w:rFonts w:eastAsia="Aptos" w:cstheme="minorHAnsi"/>
                <w:kern w:val="2"/>
                <w:szCs w:val="20"/>
                <w14:ligatures w14:val="standardContextual"/>
              </w:rPr>
            </w:pPr>
            <w:r w:rsidRPr="00C7136C">
              <w:rPr>
                <w:rFonts w:eastAsia="Aptos" w:cstheme="minorHAnsi"/>
                <w:kern w:val="2"/>
                <w:szCs w:val="20"/>
                <w14:ligatures w14:val="standardContextual"/>
              </w:rPr>
              <w:t>5.985.598,10</w:t>
            </w:r>
            <w:r w:rsidR="00F951C8" w:rsidRPr="00C7136C">
              <w:rPr>
                <w:rFonts w:eastAsia="Aptos" w:cstheme="minorHAnsi"/>
                <w:kern w:val="2"/>
                <w:szCs w:val="20"/>
                <w14:ligatures w14:val="standardContextual"/>
              </w:rPr>
              <w:t xml:space="preserve"> €</w:t>
            </w:r>
            <w:r w:rsidRPr="00C7136C">
              <w:rPr>
                <w:rFonts w:eastAsia="Aptos" w:cstheme="minorHAnsi"/>
                <w:kern w:val="2"/>
                <w:szCs w:val="20"/>
                <w14:ligatures w14:val="standardContextual"/>
              </w:rPr>
              <w:t xml:space="preserve"> [**]</w:t>
            </w:r>
          </w:p>
        </w:tc>
      </w:tr>
      <w:tr w:rsidR="00A80895" w:rsidRPr="00A80895" w14:paraId="171475F1" w14:textId="77777777" w:rsidTr="00A80895">
        <w:trPr>
          <w:jc w:val="center"/>
        </w:trPr>
        <w:tc>
          <w:tcPr>
            <w:tcW w:w="3543" w:type="dxa"/>
          </w:tcPr>
          <w:p w14:paraId="27DA3125" w14:textId="77777777" w:rsidR="00A80895" w:rsidRPr="00C7136C" w:rsidRDefault="00A80895" w:rsidP="00A80895">
            <w:pPr>
              <w:jc w:val="both"/>
              <w:rPr>
                <w:rFonts w:eastAsia="Aptos" w:cstheme="minorHAnsi"/>
                <w:kern w:val="2"/>
                <w:szCs w:val="20"/>
                <w14:ligatures w14:val="standardContextual"/>
              </w:rPr>
            </w:pPr>
            <w:r w:rsidRPr="00C7136C">
              <w:rPr>
                <w:rFonts w:eastAsia="Aptos" w:cstheme="minorHAnsi"/>
                <w:kern w:val="2"/>
                <w:szCs w:val="20"/>
                <w14:ligatures w14:val="standardContextual"/>
              </w:rPr>
              <w:t>Numero imprese agevolate</w:t>
            </w:r>
          </w:p>
        </w:tc>
        <w:tc>
          <w:tcPr>
            <w:tcW w:w="2973" w:type="dxa"/>
          </w:tcPr>
          <w:p w14:paraId="789C1667" w14:textId="77777777" w:rsidR="00A80895" w:rsidRPr="00C7136C" w:rsidRDefault="00A80895" w:rsidP="00A80895">
            <w:pPr>
              <w:jc w:val="center"/>
              <w:rPr>
                <w:rFonts w:eastAsia="Aptos" w:cstheme="minorHAnsi"/>
                <w:kern w:val="2"/>
                <w:szCs w:val="20"/>
                <w14:ligatures w14:val="standardContextual"/>
              </w:rPr>
            </w:pPr>
            <w:r w:rsidRPr="00C7136C">
              <w:rPr>
                <w:rFonts w:eastAsia="Aptos" w:cstheme="minorHAnsi"/>
                <w:kern w:val="2"/>
                <w:szCs w:val="20"/>
                <w14:ligatures w14:val="standardContextual"/>
              </w:rPr>
              <w:t>263</w:t>
            </w:r>
          </w:p>
        </w:tc>
      </w:tr>
      <w:tr w:rsidR="00A80895" w:rsidRPr="00A80895" w14:paraId="57E831FE" w14:textId="77777777" w:rsidTr="00A80895">
        <w:trPr>
          <w:jc w:val="center"/>
        </w:trPr>
        <w:tc>
          <w:tcPr>
            <w:tcW w:w="3543" w:type="dxa"/>
          </w:tcPr>
          <w:p w14:paraId="06FD503B" w14:textId="77777777" w:rsidR="00A80895" w:rsidRPr="00C7136C" w:rsidRDefault="00A80895" w:rsidP="00A80895">
            <w:pPr>
              <w:jc w:val="both"/>
              <w:rPr>
                <w:rFonts w:eastAsia="Aptos" w:cstheme="minorHAnsi"/>
                <w:kern w:val="2"/>
                <w:szCs w:val="20"/>
                <w14:ligatures w14:val="standardContextual"/>
              </w:rPr>
            </w:pPr>
            <w:r w:rsidRPr="00C7136C">
              <w:rPr>
                <w:rFonts w:eastAsia="Aptos" w:cstheme="minorHAnsi"/>
                <w:kern w:val="2"/>
                <w:szCs w:val="20"/>
                <w14:ligatures w14:val="standardContextual"/>
              </w:rPr>
              <w:t>Incremento aumento di capitale</w:t>
            </w:r>
          </w:p>
        </w:tc>
        <w:tc>
          <w:tcPr>
            <w:tcW w:w="2973" w:type="dxa"/>
          </w:tcPr>
          <w:p w14:paraId="3EFBAB52" w14:textId="7E014E65" w:rsidR="00A80895" w:rsidRPr="00C7136C" w:rsidRDefault="00A80895" w:rsidP="00A80895">
            <w:pPr>
              <w:jc w:val="center"/>
              <w:rPr>
                <w:rFonts w:eastAsia="Aptos" w:cstheme="minorHAnsi"/>
                <w:kern w:val="2"/>
                <w:szCs w:val="20"/>
                <w14:ligatures w14:val="standardContextual"/>
              </w:rPr>
            </w:pPr>
            <w:r w:rsidRPr="00C7136C">
              <w:rPr>
                <w:rFonts w:eastAsia="Aptos" w:cstheme="minorHAnsi"/>
                <w:kern w:val="2"/>
                <w:szCs w:val="20"/>
                <w14:ligatures w14:val="standardContextual"/>
              </w:rPr>
              <w:t>12.147.104,00</w:t>
            </w:r>
            <w:r w:rsidR="00F951C8" w:rsidRPr="00C7136C">
              <w:rPr>
                <w:rFonts w:eastAsia="Aptos" w:cstheme="minorHAnsi"/>
                <w:kern w:val="2"/>
                <w:szCs w:val="20"/>
                <w14:ligatures w14:val="standardContextual"/>
              </w:rPr>
              <w:t xml:space="preserve"> €</w:t>
            </w:r>
          </w:p>
        </w:tc>
      </w:tr>
    </w:tbl>
    <w:p w14:paraId="47BA78DD" w14:textId="3338DE0B" w:rsidR="00A80895" w:rsidRPr="00063D2B" w:rsidRDefault="00A80895" w:rsidP="00C97E5F">
      <w:pPr>
        <w:spacing w:after="0" w:line="276" w:lineRule="auto"/>
        <w:ind w:left="1559" w:right="1418"/>
        <w:jc w:val="both"/>
        <w:rPr>
          <w:rFonts w:eastAsia="Aptos" w:cstheme="minorHAnsi"/>
          <w:i/>
          <w:iCs/>
          <w:kern w:val="2"/>
          <w:sz w:val="18"/>
          <w:szCs w:val="18"/>
          <w14:ligatures w14:val="standardContextual"/>
        </w:rPr>
      </w:pPr>
      <w:r w:rsidRPr="00063D2B">
        <w:rPr>
          <w:rFonts w:eastAsia="Aptos" w:cstheme="minorHAnsi"/>
          <w:i/>
          <w:iCs/>
          <w:kern w:val="2"/>
          <w:sz w:val="18"/>
          <w:szCs w:val="18"/>
          <w14:ligatures w14:val="standardContextual"/>
        </w:rPr>
        <w:t xml:space="preserve">Fonte: </w:t>
      </w:r>
      <w:r w:rsidR="00F951C8">
        <w:rPr>
          <w:rFonts w:eastAsia="Aptos" w:cstheme="minorHAnsi"/>
          <w:i/>
          <w:iCs/>
          <w:kern w:val="2"/>
          <w:sz w:val="18"/>
          <w:szCs w:val="18"/>
          <w14:ligatures w14:val="standardContextual"/>
        </w:rPr>
        <w:t>Regione Marche,</w:t>
      </w:r>
      <w:r w:rsidRPr="00063D2B">
        <w:rPr>
          <w:rFonts w:eastAsia="Aptos" w:cstheme="minorHAnsi"/>
          <w:i/>
          <w:iCs/>
          <w:kern w:val="2"/>
          <w:sz w:val="18"/>
          <w:szCs w:val="18"/>
          <w14:ligatures w14:val="standardContextual"/>
        </w:rPr>
        <w:t xml:space="preserve"> </w:t>
      </w:r>
      <w:r w:rsidR="00F951C8">
        <w:rPr>
          <w:rFonts w:eastAsia="Aptos" w:cstheme="minorHAnsi"/>
          <w:i/>
          <w:iCs/>
          <w:kern w:val="2"/>
          <w:sz w:val="18"/>
          <w:szCs w:val="18"/>
          <w14:ligatures w14:val="standardContextual"/>
        </w:rPr>
        <w:t>aprile</w:t>
      </w:r>
      <w:r w:rsidRPr="00063D2B">
        <w:rPr>
          <w:rFonts w:eastAsia="Aptos" w:cstheme="minorHAnsi"/>
          <w:i/>
          <w:iCs/>
          <w:kern w:val="2"/>
          <w:sz w:val="18"/>
          <w:szCs w:val="18"/>
          <w14:ligatures w14:val="standardContextual"/>
        </w:rPr>
        <w:t xml:space="preserve"> 2024</w:t>
      </w:r>
    </w:p>
    <w:p w14:paraId="01D2C8E0" w14:textId="203251CD" w:rsidR="00A80895" w:rsidRPr="00AD3349" w:rsidRDefault="00A80895" w:rsidP="00A80895">
      <w:pPr>
        <w:spacing w:after="0" w:line="240" w:lineRule="auto"/>
        <w:ind w:left="1560" w:right="1558"/>
        <w:jc w:val="both"/>
        <w:rPr>
          <w:rFonts w:eastAsia="Aptos" w:cstheme="minorHAnsi"/>
          <w:kern w:val="2"/>
          <w:sz w:val="16"/>
          <w:szCs w:val="16"/>
          <w14:ligatures w14:val="standardContextual"/>
        </w:rPr>
      </w:pPr>
      <w:r w:rsidRPr="00AD3349">
        <w:rPr>
          <w:rFonts w:eastAsia="Aptos" w:cstheme="minorHAnsi"/>
          <w:kern w:val="2"/>
          <w:sz w:val="16"/>
          <w:szCs w:val="16"/>
          <w14:ligatures w14:val="standardContextual"/>
        </w:rPr>
        <w:t>[*] il fondo è gestito da 3 Confidi, ciascuno dei quali detiene un proprio plafond; uno dei 3 Confidi ha terminato l’istruttoria delle domande ad esso pervenute e, non disponendone di altre entro la scadenza del bando, si è creata tale economia</w:t>
      </w:r>
    </w:p>
    <w:p w14:paraId="0E70E68F" w14:textId="29CBD973" w:rsidR="00A80895" w:rsidRPr="00AD3349" w:rsidRDefault="00A80895" w:rsidP="00C97E5F">
      <w:pPr>
        <w:spacing w:after="120" w:line="240" w:lineRule="auto"/>
        <w:ind w:left="1559" w:right="1559"/>
        <w:jc w:val="both"/>
        <w:rPr>
          <w:rFonts w:eastAsia="Aptos" w:cstheme="minorHAnsi"/>
          <w:kern w:val="2"/>
          <w:sz w:val="16"/>
          <w:szCs w:val="16"/>
          <w14:ligatures w14:val="standardContextual"/>
        </w:rPr>
      </w:pPr>
      <w:r w:rsidRPr="00AD3349">
        <w:rPr>
          <w:rFonts w:eastAsia="Aptos" w:cstheme="minorHAnsi"/>
          <w:kern w:val="2"/>
          <w:sz w:val="16"/>
          <w:szCs w:val="16"/>
          <w14:ligatures w14:val="standardContextual"/>
        </w:rPr>
        <w:t>[**] la differenza tra l’importo della spesa e i contributi erogata verrà colmata con le operazioni in fase di verifica</w:t>
      </w:r>
    </w:p>
    <w:p w14:paraId="3E0A9463" w14:textId="67F4EA1F" w:rsidR="00A502C1" w:rsidRDefault="00C97E5F" w:rsidP="00A80895">
      <w:pPr>
        <w:spacing w:after="120" w:line="276" w:lineRule="auto"/>
        <w:jc w:val="both"/>
        <w:rPr>
          <w:rFonts w:eastAsia="Aptos" w:cstheme="minorHAnsi"/>
          <w:kern w:val="2"/>
          <w14:ligatures w14:val="standardContextual"/>
        </w:rPr>
      </w:pPr>
      <w:r>
        <w:rPr>
          <w:rFonts w:eastAsia="Aptos" w:cstheme="minorHAnsi"/>
          <w:kern w:val="2"/>
          <w14:ligatures w14:val="standardContextual"/>
        </w:rPr>
        <w:t xml:space="preserve">Relativamente alla distribuzione territoriale delle imprese “agevolate” come evidenziato dalla tabella sottostante la provincia di Ancona ha visto il coinvolgimento di 80 imprese per un contributo erogato di </w:t>
      </w:r>
      <w:r w:rsidRPr="00C97E5F">
        <w:rPr>
          <w:rFonts w:eastAsia="Aptos" w:cstheme="minorHAnsi"/>
          <w:kern w:val="2"/>
          <w14:ligatures w14:val="standardContextual"/>
        </w:rPr>
        <w:t>1.882.731,67 €</w:t>
      </w:r>
      <w:r>
        <w:rPr>
          <w:rFonts w:eastAsia="Aptos" w:cstheme="minorHAnsi"/>
          <w:kern w:val="2"/>
          <w14:ligatures w14:val="standardContextual"/>
        </w:rPr>
        <w:t xml:space="preserve"> seguita da Ascoli Piceno per un totale di 55 imprese e un contributo complessivo di 1, 2 </w:t>
      </w:r>
      <w:proofErr w:type="spellStart"/>
      <w:r>
        <w:rPr>
          <w:rFonts w:eastAsia="Aptos" w:cstheme="minorHAnsi"/>
          <w:kern w:val="2"/>
          <w14:ligatures w14:val="standardContextual"/>
        </w:rPr>
        <w:t>Meuro</w:t>
      </w:r>
      <w:proofErr w:type="spellEnd"/>
      <w:r>
        <w:rPr>
          <w:rFonts w:eastAsia="Aptos" w:cstheme="minorHAnsi"/>
          <w:kern w:val="2"/>
          <w14:ligatures w14:val="standardContextual"/>
        </w:rPr>
        <w:t xml:space="preserve">. La provincia di Macerata è stata quello che ha visto un minor coinvolgimento di imprese (35) con un contributo erogato di poco </w:t>
      </w:r>
      <w:r w:rsidR="00FE42F6">
        <w:rPr>
          <w:rFonts w:eastAsia="Aptos" w:cstheme="minorHAnsi"/>
          <w:kern w:val="2"/>
          <w14:ligatures w14:val="standardContextual"/>
        </w:rPr>
        <w:t>sopra</w:t>
      </w:r>
      <w:r>
        <w:rPr>
          <w:rFonts w:eastAsia="Aptos" w:cstheme="minorHAnsi"/>
          <w:kern w:val="2"/>
          <w14:ligatures w14:val="standardContextual"/>
        </w:rPr>
        <w:t xml:space="preserve"> </w:t>
      </w:r>
      <w:r w:rsidR="00FE42F6">
        <w:rPr>
          <w:rFonts w:eastAsia="Aptos" w:cstheme="minorHAnsi"/>
          <w:kern w:val="2"/>
          <w14:ligatures w14:val="standardContextual"/>
        </w:rPr>
        <w:t>gli</w:t>
      </w:r>
      <w:r>
        <w:rPr>
          <w:rFonts w:eastAsia="Aptos" w:cstheme="minorHAnsi"/>
          <w:kern w:val="2"/>
          <w14:ligatures w14:val="standardContextual"/>
        </w:rPr>
        <w:t xml:space="preserve"> 800 mila euro.</w:t>
      </w:r>
    </w:p>
    <w:p w14:paraId="4D92139F" w14:textId="4981D441" w:rsidR="00A502C1" w:rsidRPr="00A502C1" w:rsidRDefault="00A502C1" w:rsidP="00AD3349">
      <w:pPr>
        <w:spacing w:after="0" w:line="240" w:lineRule="auto"/>
        <w:ind w:left="1843"/>
        <w:jc w:val="both"/>
        <w:rPr>
          <w:rFonts w:eastAsia="Aptos" w:cstheme="minorHAnsi"/>
          <w:i/>
          <w:iCs/>
          <w:kern w:val="2"/>
          <w:sz w:val="20"/>
          <w:szCs w:val="20"/>
          <w14:ligatures w14:val="standardContextual"/>
        </w:rPr>
      </w:pPr>
      <w:proofErr w:type="spellStart"/>
      <w:r w:rsidRPr="00A502C1">
        <w:rPr>
          <w:rFonts w:eastAsia="Aptos" w:cstheme="minorHAnsi"/>
          <w:i/>
          <w:iCs/>
          <w:kern w:val="2"/>
          <w:sz w:val="20"/>
          <w:szCs w:val="20"/>
          <w14:ligatures w14:val="standardContextual"/>
        </w:rPr>
        <w:t>Tab</w:t>
      </w:r>
      <w:proofErr w:type="spellEnd"/>
      <w:r w:rsidRPr="00A502C1">
        <w:rPr>
          <w:rFonts w:eastAsia="Aptos" w:cstheme="minorHAnsi"/>
          <w:i/>
          <w:iCs/>
          <w:kern w:val="2"/>
          <w:sz w:val="20"/>
          <w:szCs w:val="20"/>
          <w14:ligatures w14:val="standardContextual"/>
        </w:rPr>
        <w:t xml:space="preserve">. </w:t>
      </w:r>
      <w:r w:rsidR="005C77DE">
        <w:rPr>
          <w:rFonts w:eastAsia="Aptos" w:cstheme="minorHAnsi"/>
          <w:i/>
          <w:iCs/>
          <w:kern w:val="2"/>
          <w:sz w:val="20"/>
          <w:szCs w:val="20"/>
          <w14:ligatures w14:val="standardContextual"/>
        </w:rPr>
        <w:t>8</w:t>
      </w:r>
      <w:r w:rsidRPr="00A502C1">
        <w:rPr>
          <w:rFonts w:eastAsia="Aptos" w:cstheme="minorHAnsi"/>
          <w:i/>
          <w:iCs/>
          <w:kern w:val="2"/>
          <w:sz w:val="20"/>
          <w:szCs w:val="20"/>
          <w14:ligatures w14:val="standardContextual"/>
        </w:rPr>
        <w:t xml:space="preserve"> </w:t>
      </w:r>
      <w:r w:rsidR="00D33902">
        <w:rPr>
          <w:rFonts w:eastAsia="Aptos" w:cstheme="minorHAnsi"/>
          <w:i/>
          <w:iCs/>
          <w:kern w:val="2"/>
          <w:sz w:val="20"/>
          <w:szCs w:val="20"/>
          <w14:ligatures w14:val="standardContextual"/>
        </w:rPr>
        <w:t>Imprese beneficiarie e contributo per provincia</w:t>
      </w:r>
    </w:p>
    <w:tbl>
      <w:tblPr>
        <w:tblStyle w:val="Grigliatabella"/>
        <w:tblW w:w="0" w:type="auto"/>
        <w:jc w:val="center"/>
        <w:tblLook w:val="04A0" w:firstRow="1" w:lastRow="0" w:firstColumn="1" w:lastColumn="0" w:noHBand="0" w:noVBand="1"/>
      </w:tblPr>
      <w:tblGrid>
        <w:gridCol w:w="2175"/>
        <w:gridCol w:w="1118"/>
        <w:gridCol w:w="1815"/>
        <w:gridCol w:w="1560"/>
      </w:tblGrid>
      <w:tr w:rsidR="00AD3349" w:rsidRPr="00B95D97" w14:paraId="7F7AC54E" w14:textId="58E2FDE5" w:rsidTr="00C7136C">
        <w:trPr>
          <w:trHeight w:val="63"/>
          <w:jc w:val="center"/>
        </w:trPr>
        <w:tc>
          <w:tcPr>
            <w:tcW w:w="2175" w:type="dxa"/>
            <w:shd w:val="clear" w:color="auto" w:fill="2F5496" w:themeFill="accent1" w:themeFillShade="BF"/>
            <w:noWrap/>
            <w:hideMark/>
          </w:tcPr>
          <w:p w14:paraId="7DEDDD9E" w14:textId="77777777" w:rsidR="00AD3349" w:rsidRPr="00B95D97" w:rsidRDefault="00AD3349" w:rsidP="00B95D97">
            <w:pPr>
              <w:autoSpaceDE w:val="0"/>
              <w:autoSpaceDN w:val="0"/>
              <w:adjustRightInd w:val="0"/>
              <w:jc w:val="center"/>
              <w:rPr>
                <w:rFonts w:cstheme="minorHAnsi"/>
                <w:b/>
                <w:color w:val="FFFFFF" w:themeColor="background1"/>
                <w:sz w:val="20"/>
                <w:szCs w:val="20"/>
              </w:rPr>
            </w:pPr>
            <w:r w:rsidRPr="00B95D97">
              <w:rPr>
                <w:rFonts w:cstheme="minorHAnsi"/>
                <w:b/>
                <w:color w:val="FFFFFF" w:themeColor="background1"/>
                <w:sz w:val="20"/>
                <w:szCs w:val="20"/>
              </w:rPr>
              <w:t>Provincia</w:t>
            </w:r>
          </w:p>
        </w:tc>
        <w:tc>
          <w:tcPr>
            <w:tcW w:w="0" w:type="auto"/>
            <w:shd w:val="clear" w:color="auto" w:fill="2F5496" w:themeFill="accent1" w:themeFillShade="BF"/>
            <w:noWrap/>
            <w:hideMark/>
          </w:tcPr>
          <w:p w14:paraId="295C0344" w14:textId="696E3D9D" w:rsidR="00AD3349" w:rsidRPr="00B95D97" w:rsidRDefault="00AD3349" w:rsidP="00B95D97">
            <w:pPr>
              <w:autoSpaceDE w:val="0"/>
              <w:autoSpaceDN w:val="0"/>
              <w:adjustRightInd w:val="0"/>
              <w:jc w:val="center"/>
              <w:rPr>
                <w:rFonts w:cstheme="minorHAnsi"/>
                <w:b/>
                <w:color w:val="FFFFFF" w:themeColor="background1"/>
                <w:sz w:val="20"/>
                <w:szCs w:val="20"/>
              </w:rPr>
            </w:pPr>
            <w:r>
              <w:rPr>
                <w:rFonts w:cstheme="minorHAnsi"/>
                <w:b/>
                <w:color w:val="FFFFFF" w:themeColor="background1"/>
                <w:sz w:val="20"/>
                <w:szCs w:val="20"/>
              </w:rPr>
              <w:t>N.</w:t>
            </w:r>
            <w:r w:rsidRPr="00B95D97">
              <w:rPr>
                <w:rFonts w:cstheme="minorHAnsi"/>
                <w:b/>
                <w:color w:val="FFFFFF" w:themeColor="background1"/>
                <w:sz w:val="20"/>
                <w:szCs w:val="20"/>
              </w:rPr>
              <w:t xml:space="preserve"> imprese</w:t>
            </w:r>
          </w:p>
        </w:tc>
        <w:tc>
          <w:tcPr>
            <w:tcW w:w="1815" w:type="dxa"/>
            <w:shd w:val="clear" w:color="auto" w:fill="2F5496" w:themeFill="accent1" w:themeFillShade="BF"/>
            <w:noWrap/>
            <w:hideMark/>
          </w:tcPr>
          <w:p w14:paraId="49F60DC3" w14:textId="77777777" w:rsidR="00AD3349" w:rsidRPr="00B95D97" w:rsidRDefault="00AD3349" w:rsidP="00B95D97">
            <w:pPr>
              <w:autoSpaceDE w:val="0"/>
              <w:autoSpaceDN w:val="0"/>
              <w:adjustRightInd w:val="0"/>
              <w:jc w:val="center"/>
              <w:rPr>
                <w:rFonts w:cstheme="minorHAnsi"/>
                <w:b/>
                <w:color w:val="FFFFFF" w:themeColor="background1"/>
                <w:sz w:val="20"/>
                <w:szCs w:val="20"/>
              </w:rPr>
            </w:pPr>
            <w:r w:rsidRPr="00B95D97">
              <w:rPr>
                <w:rFonts w:cstheme="minorHAnsi"/>
                <w:b/>
                <w:color w:val="FFFFFF" w:themeColor="background1"/>
                <w:sz w:val="20"/>
                <w:szCs w:val="20"/>
              </w:rPr>
              <w:t>Contributo</w:t>
            </w:r>
          </w:p>
        </w:tc>
        <w:tc>
          <w:tcPr>
            <w:tcW w:w="1560" w:type="dxa"/>
            <w:shd w:val="clear" w:color="auto" w:fill="2F5496" w:themeFill="accent1" w:themeFillShade="BF"/>
          </w:tcPr>
          <w:p w14:paraId="1733177B" w14:textId="4F75EBA5" w:rsidR="00AD3349" w:rsidRPr="00B95D97" w:rsidRDefault="00AD3349" w:rsidP="00B95D97">
            <w:pPr>
              <w:autoSpaceDE w:val="0"/>
              <w:autoSpaceDN w:val="0"/>
              <w:adjustRightInd w:val="0"/>
              <w:jc w:val="center"/>
              <w:rPr>
                <w:rFonts w:cstheme="minorHAnsi"/>
                <w:b/>
                <w:color w:val="FFFFFF" w:themeColor="background1"/>
                <w:sz w:val="20"/>
                <w:szCs w:val="20"/>
              </w:rPr>
            </w:pPr>
            <w:r>
              <w:rPr>
                <w:rFonts w:cstheme="minorHAnsi"/>
                <w:b/>
                <w:color w:val="FFFFFF" w:themeColor="background1"/>
                <w:sz w:val="20"/>
                <w:szCs w:val="20"/>
              </w:rPr>
              <w:t>% assorbimento</w:t>
            </w:r>
          </w:p>
        </w:tc>
      </w:tr>
      <w:tr w:rsidR="00AD3349" w:rsidRPr="00B95D97" w14:paraId="73268147" w14:textId="1E1882A2" w:rsidTr="00C7136C">
        <w:trPr>
          <w:trHeight w:val="63"/>
          <w:jc w:val="center"/>
        </w:trPr>
        <w:tc>
          <w:tcPr>
            <w:tcW w:w="2175" w:type="dxa"/>
            <w:noWrap/>
            <w:hideMark/>
          </w:tcPr>
          <w:p w14:paraId="23F04EE1" w14:textId="6283A884" w:rsidR="00AD3349" w:rsidRPr="00C7136C" w:rsidRDefault="00AD3349" w:rsidP="00AD3349">
            <w:pPr>
              <w:jc w:val="both"/>
              <w:rPr>
                <w:rFonts w:eastAsia="Aptos" w:cstheme="minorHAnsi"/>
                <w:kern w:val="2"/>
                <w:szCs w:val="20"/>
                <w14:ligatures w14:val="standardContextual"/>
              </w:rPr>
            </w:pPr>
            <w:r w:rsidRPr="00C7136C">
              <w:rPr>
                <w:rFonts w:eastAsia="Aptos" w:cstheme="minorHAnsi"/>
                <w:kern w:val="2"/>
                <w:szCs w:val="20"/>
                <w14:ligatures w14:val="standardContextual"/>
              </w:rPr>
              <w:t>Ancona</w:t>
            </w:r>
          </w:p>
        </w:tc>
        <w:tc>
          <w:tcPr>
            <w:tcW w:w="0" w:type="auto"/>
            <w:noWrap/>
            <w:hideMark/>
          </w:tcPr>
          <w:p w14:paraId="550EC5DC" w14:textId="77777777"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80</w:t>
            </w:r>
          </w:p>
        </w:tc>
        <w:tc>
          <w:tcPr>
            <w:tcW w:w="1815" w:type="dxa"/>
            <w:noWrap/>
            <w:hideMark/>
          </w:tcPr>
          <w:p w14:paraId="32C964A3" w14:textId="57359BEC"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1.882.731,67 €</w:t>
            </w:r>
          </w:p>
        </w:tc>
        <w:tc>
          <w:tcPr>
            <w:tcW w:w="1560" w:type="dxa"/>
          </w:tcPr>
          <w:p w14:paraId="2D583621" w14:textId="240FE319"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31%</w:t>
            </w:r>
          </w:p>
        </w:tc>
      </w:tr>
      <w:tr w:rsidR="00AD3349" w:rsidRPr="00B95D97" w14:paraId="5866F3F9" w14:textId="2C214916" w:rsidTr="00C7136C">
        <w:trPr>
          <w:trHeight w:val="63"/>
          <w:jc w:val="center"/>
        </w:trPr>
        <w:tc>
          <w:tcPr>
            <w:tcW w:w="2175" w:type="dxa"/>
            <w:noWrap/>
            <w:hideMark/>
          </w:tcPr>
          <w:p w14:paraId="273A663F" w14:textId="45E71525" w:rsidR="00AD3349" w:rsidRPr="00C7136C" w:rsidRDefault="00AD3349" w:rsidP="00AD3349">
            <w:pPr>
              <w:jc w:val="both"/>
              <w:rPr>
                <w:rFonts w:eastAsia="Aptos" w:cstheme="minorHAnsi"/>
                <w:kern w:val="2"/>
                <w:szCs w:val="20"/>
                <w14:ligatures w14:val="standardContextual"/>
              </w:rPr>
            </w:pPr>
            <w:r w:rsidRPr="00C7136C">
              <w:rPr>
                <w:rFonts w:eastAsia="Aptos" w:cstheme="minorHAnsi"/>
                <w:kern w:val="2"/>
                <w:szCs w:val="20"/>
                <w14:ligatures w14:val="standardContextual"/>
              </w:rPr>
              <w:t>Ascoli Piceno</w:t>
            </w:r>
          </w:p>
        </w:tc>
        <w:tc>
          <w:tcPr>
            <w:tcW w:w="0" w:type="auto"/>
            <w:noWrap/>
            <w:hideMark/>
          </w:tcPr>
          <w:p w14:paraId="067156A2" w14:textId="77777777"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55</w:t>
            </w:r>
          </w:p>
        </w:tc>
        <w:tc>
          <w:tcPr>
            <w:tcW w:w="1815" w:type="dxa"/>
            <w:noWrap/>
            <w:hideMark/>
          </w:tcPr>
          <w:p w14:paraId="45152CDD" w14:textId="5816C763"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1.209.926,78 €</w:t>
            </w:r>
          </w:p>
        </w:tc>
        <w:tc>
          <w:tcPr>
            <w:tcW w:w="1560" w:type="dxa"/>
          </w:tcPr>
          <w:p w14:paraId="13FD9435" w14:textId="1087F866"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20%</w:t>
            </w:r>
          </w:p>
        </w:tc>
      </w:tr>
      <w:tr w:rsidR="00AD3349" w:rsidRPr="00B95D97" w14:paraId="3F58D996" w14:textId="022B661C" w:rsidTr="00C7136C">
        <w:trPr>
          <w:trHeight w:val="63"/>
          <w:jc w:val="center"/>
        </w:trPr>
        <w:tc>
          <w:tcPr>
            <w:tcW w:w="2175" w:type="dxa"/>
            <w:noWrap/>
            <w:hideMark/>
          </w:tcPr>
          <w:p w14:paraId="00AA818F" w14:textId="3C9190DA" w:rsidR="00AD3349" w:rsidRPr="00C7136C" w:rsidRDefault="00AD3349" w:rsidP="00AD3349">
            <w:pPr>
              <w:jc w:val="both"/>
              <w:rPr>
                <w:rFonts w:eastAsia="Aptos" w:cstheme="minorHAnsi"/>
                <w:kern w:val="2"/>
                <w:szCs w:val="20"/>
                <w14:ligatures w14:val="standardContextual"/>
              </w:rPr>
            </w:pPr>
            <w:r w:rsidRPr="00C7136C">
              <w:rPr>
                <w:rFonts w:eastAsia="Aptos" w:cstheme="minorHAnsi"/>
                <w:kern w:val="2"/>
                <w:szCs w:val="20"/>
                <w14:ligatures w14:val="standardContextual"/>
              </w:rPr>
              <w:t>Fermo</w:t>
            </w:r>
          </w:p>
        </w:tc>
        <w:tc>
          <w:tcPr>
            <w:tcW w:w="0" w:type="auto"/>
            <w:noWrap/>
            <w:hideMark/>
          </w:tcPr>
          <w:p w14:paraId="28390638" w14:textId="77777777"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41</w:t>
            </w:r>
          </w:p>
        </w:tc>
        <w:tc>
          <w:tcPr>
            <w:tcW w:w="1815" w:type="dxa"/>
            <w:noWrap/>
            <w:hideMark/>
          </w:tcPr>
          <w:p w14:paraId="2EB05FD2" w14:textId="07DB7627"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990.000,00 €</w:t>
            </w:r>
          </w:p>
        </w:tc>
        <w:tc>
          <w:tcPr>
            <w:tcW w:w="1560" w:type="dxa"/>
          </w:tcPr>
          <w:p w14:paraId="55F90421" w14:textId="4B510B04"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17%</w:t>
            </w:r>
          </w:p>
        </w:tc>
      </w:tr>
      <w:tr w:rsidR="00AD3349" w:rsidRPr="00B95D97" w14:paraId="35796F3A" w14:textId="4D205C87" w:rsidTr="00C7136C">
        <w:trPr>
          <w:trHeight w:val="63"/>
          <w:jc w:val="center"/>
        </w:trPr>
        <w:tc>
          <w:tcPr>
            <w:tcW w:w="2175" w:type="dxa"/>
            <w:noWrap/>
            <w:hideMark/>
          </w:tcPr>
          <w:p w14:paraId="4EA02CF7" w14:textId="4295E7FC" w:rsidR="00AD3349" w:rsidRPr="00C7136C" w:rsidRDefault="00AD3349" w:rsidP="00AD3349">
            <w:pPr>
              <w:jc w:val="both"/>
              <w:rPr>
                <w:rFonts w:eastAsia="Aptos" w:cstheme="minorHAnsi"/>
                <w:kern w:val="2"/>
                <w:szCs w:val="20"/>
                <w14:ligatures w14:val="standardContextual"/>
              </w:rPr>
            </w:pPr>
            <w:r w:rsidRPr="00C7136C">
              <w:rPr>
                <w:rFonts w:eastAsia="Aptos" w:cstheme="minorHAnsi"/>
                <w:kern w:val="2"/>
                <w:szCs w:val="20"/>
                <w14:ligatures w14:val="standardContextual"/>
              </w:rPr>
              <w:t>Macerata</w:t>
            </w:r>
          </w:p>
        </w:tc>
        <w:tc>
          <w:tcPr>
            <w:tcW w:w="0" w:type="auto"/>
            <w:noWrap/>
            <w:hideMark/>
          </w:tcPr>
          <w:p w14:paraId="71E9DD3D" w14:textId="77777777"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35</w:t>
            </w:r>
          </w:p>
        </w:tc>
        <w:tc>
          <w:tcPr>
            <w:tcW w:w="1815" w:type="dxa"/>
            <w:noWrap/>
            <w:hideMark/>
          </w:tcPr>
          <w:p w14:paraId="33D96160" w14:textId="6DC6670A"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816.637,50 €</w:t>
            </w:r>
          </w:p>
        </w:tc>
        <w:tc>
          <w:tcPr>
            <w:tcW w:w="1560" w:type="dxa"/>
          </w:tcPr>
          <w:p w14:paraId="6D8A7F28" w14:textId="7F206780"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14%</w:t>
            </w:r>
          </w:p>
        </w:tc>
      </w:tr>
      <w:tr w:rsidR="00AD3349" w:rsidRPr="00B95D97" w14:paraId="42E38671" w14:textId="753D12BF" w:rsidTr="00C7136C">
        <w:trPr>
          <w:trHeight w:val="63"/>
          <w:jc w:val="center"/>
        </w:trPr>
        <w:tc>
          <w:tcPr>
            <w:tcW w:w="2175" w:type="dxa"/>
            <w:noWrap/>
            <w:hideMark/>
          </w:tcPr>
          <w:p w14:paraId="0EACC543" w14:textId="2230180A" w:rsidR="00AD3349" w:rsidRPr="00C7136C" w:rsidRDefault="00AD3349" w:rsidP="00AD3349">
            <w:pPr>
              <w:jc w:val="both"/>
              <w:rPr>
                <w:rFonts w:eastAsia="Aptos" w:cstheme="minorHAnsi"/>
                <w:kern w:val="2"/>
                <w:szCs w:val="20"/>
                <w14:ligatures w14:val="standardContextual"/>
              </w:rPr>
            </w:pPr>
            <w:r w:rsidRPr="00C7136C">
              <w:rPr>
                <w:rFonts w:eastAsia="Aptos" w:cstheme="minorHAnsi"/>
                <w:kern w:val="2"/>
                <w:szCs w:val="20"/>
                <w14:ligatures w14:val="standardContextual"/>
              </w:rPr>
              <w:t>Pesaro e Urbino</w:t>
            </w:r>
          </w:p>
        </w:tc>
        <w:tc>
          <w:tcPr>
            <w:tcW w:w="0" w:type="auto"/>
            <w:noWrap/>
            <w:hideMark/>
          </w:tcPr>
          <w:p w14:paraId="15184FDE" w14:textId="77777777"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52</w:t>
            </w:r>
          </w:p>
        </w:tc>
        <w:tc>
          <w:tcPr>
            <w:tcW w:w="1815" w:type="dxa"/>
            <w:noWrap/>
            <w:hideMark/>
          </w:tcPr>
          <w:p w14:paraId="60BCB7C9" w14:textId="1A5662E8"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1.086.302,15 €</w:t>
            </w:r>
          </w:p>
        </w:tc>
        <w:tc>
          <w:tcPr>
            <w:tcW w:w="1560" w:type="dxa"/>
          </w:tcPr>
          <w:p w14:paraId="430514E9" w14:textId="192F8B8B" w:rsidR="00AD3349" w:rsidRPr="00C7136C" w:rsidRDefault="00AD3349" w:rsidP="00AD3349">
            <w:pPr>
              <w:jc w:val="center"/>
              <w:rPr>
                <w:rFonts w:eastAsia="Aptos" w:cstheme="minorHAnsi"/>
                <w:kern w:val="2"/>
                <w:szCs w:val="20"/>
                <w14:ligatures w14:val="standardContextual"/>
              </w:rPr>
            </w:pPr>
            <w:r w:rsidRPr="00C7136C">
              <w:rPr>
                <w:rFonts w:eastAsia="Aptos" w:cstheme="minorHAnsi"/>
                <w:kern w:val="2"/>
                <w:szCs w:val="20"/>
                <w14:ligatures w14:val="standardContextual"/>
              </w:rPr>
              <w:t>18%</w:t>
            </w:r>
          </w:p>
        </w:tc>
      </w:tr>
      <w:tr w:rsidR="00AD3349" w:rsidRPr="00B95D97" w14:paraId="34F40CD2" w14:textId="34FFFB4C" w:rsidTr="00C7136C">
        <w:trPr>
          <w:trHeight w:val="63"/>
          <w:jc w:val="center"/>
        </w:trPr>
        <w:tc>
          <w:tcPr>
            <w:tcW w:w="2175" w:type="dxa"/>
            <w:noWrap/>
            <w:hideMark/>
          </w:tcPr>
          <w:p w14:paraId="2DA97086" w14:textId="77777777" w:rsidR="00AD3349" w:rsidRPr="00C7136C" w:rsidRDefault="00AD3349" w:rsidP="00AD3349">
            <w:pPr>
              <w:jc w:val="right"/>
              <w:rPr>
                <w:rFonts w:eastAsia="Aptos" w:cstheme="minorHAnsi"/>
                <w:b/>
                <w:bCs/>
                <w:kern w:val="2"/>
                <w:szCs w:val="20"/>
                <w14:ligatures w14:val="standardContextual"/>
              </w:rPr>
            </w:pPr>
            <w:r w:rsidRPr="00C7136C">
              <w:rPr>
                <w:rFonts w:eastAsia="Aptos" w:cstheme="minorHAnsi"/>
                <w:b/>
                <w:bCs/>
                <w:kern w:val="2"/>
                <w:szCs w:val="20"/>
                <w14:ligatures w14:val="standardContextual"/>
              </w:rPr>
              <w:t>Totale</w:t>
            </w:r>
          </w:p>
        </w:tc>
        <w:tc>
          <w:tcPr>
            <w:tcW w:w="0" w:type="auto"/>
            <w:noWrap/>
            <w:hideMark/>
          </w:tcPr>
          <w:p w14:paraId="584E857E" w14:textId="77777777" w:rsidR="00AD3349" w:rsidRPr="00C7136C" w:rsidRDefault="00AD3349" w:rsidP="00AD3349">
            <w:pPr>
              <w:jc w:val="center"/>
              <w:rPr>
                <w:rFonts w:eastAsia="Aptos" w:cstheme="minorHAnsi"/>
                <w:b/>
                <w:bCs/>
                <w:kern w:val="2"/>
                <w:szCs w:val="20"/>
                <w14:ligatures w14:val="standardContextual"/>
              </w:rPr>
            </w:pPr>
            <w:r w:rsidRPr="00C7136C">
              <w:rPr>
                <w:rFonts w:eastAsia="Aptos" w:cstheme="minorHAnsi"/>
                <w:b/>
                <w:bCs/>
                <w:kern w:val="2"/>
                <w:szCs w:val="20"/>
                <w14:ligatures w14:val="standardContextual"/>
              </w:rPr>
              <w:t>263</w:t>
            </w:r>
          </w:p>
        </w:tc>
        <w:tc>
          <w:tcPr>
            <w:tcW w:w="1815" w:type="dxa"/>
            <w:noWrap/>
            <w:hideMark/>
          </w:tcPr>
          <w:p w14:paraId="5764112F" w14:textId="19618F99" w:rsidR="00AD3349" w:rsidRPr="00C7136C" w:rsidRDefault="00AD3349" w:rsidP="00AD3349">
            <w:pPr>
              <w:jc w:val="center"/>
              <w:rPr>
                <w:rFonts w:eastAsia="Aptos" w:cstheme="minorHAnsi"/>
                <w:b/>
                <w:bCs/>
                <w:kern w:val="2"/>
                <w:szCs w:val="20"/>
                <w14:ligatures w14:val="standardContextual"/>
              </w:rPr>
            </w:pPr>
            <w:r w:rsidRPr="00C7136C">
              <w:rPr>
                <w:rFonts w:eastAsia="Aptos" w:cstheme="minorHAnsi"/>
                <w:b/>
                <w:bCs/>
                <w:kern w:val="2"/>
                <w:szCs w:val="20"/>
                <w14:ligatures w14:val="standardContextual"/>
              </w:rPr>
              <w:t>5.985.598,10 €</w:t>
            </w:r>
          </w:p>
        </w:tc>
        <w:tc>
          <w:tcPr>
            <w:tcW w:w="1560" w:type="dxa"/>
          </w:tcPr>
          <w:p w14:paraId="5B58657B" w14:textId="500918A7" w:rsidR="00AD3349" w:rsidRPr="00C7136C" w:rsidRDefault="00AD3349" w:rsidP="00AD3349">
            <w:pPr>
              <w:jc w:val="center"/>
              <w:rPr>
                <w:rFonts w:eastAsia="Aptos" w:cstheme="minorHAnsi"/>
                <w:b/>
                <w:bCs/>
                <w:kern w:val="2"/>
                <w:szCs w:val="20"/>
                <w14:ligatures w14:val="standardContextual"/>
              </w:rPr>
            </w:pPr>
            <w:r w:rsidRPr="00C7136C">
              <w:rPr>
                <w:rFonts w:eastAsia="Aptos" w:cstheme="minorHAnsi"/>
                <w:b/>
                <w:bCs/>
                <w:kern w:val="2"/>
                <w:szCs w:val="20"/>
                <w14:ligatures w14:val="standardContextual"/>
              </w:rPr>
              <w:t>100%</w:t>
            </w:r>
          </w:p>
        </w:tc>
      </w:tr>
    </w:tbl>
    <w:p w14:paraId="68A43046" w14:textId="77777777" w:rsidR="00F951C8" w:rsidRPr="00063D2B" w:rsidRDefault="00F951C8" w:rsidP="00AD3349">
      <w:pPr>
        <w:spacing w:after="120" w:line="240" w:lineRule="auto"/>
        <w:ind w:left="1843" w:right="1418"/>
        <w:jc w:val="both"/>
        <w:rPr>
          <w:rFonts w:eastAsia="Aptos" w:cstheme="minorHAnsi"/>
          <w:i/>
          <w:iCs/>
          <w:kern w:val="2"/>
          <w:sz w:val="18"/>
          <w:szCs w:val="18"/>
          <w14:ligatures w14:val="standardContextual"/>
        </w:rPr>
      </w:pPr>
      <w:r w:rsidRPr="00063D2B">
        <w:rPr>
          <w:rFonts w:eastAsia="Aptos" w:cstheme="minorHAnsi"/>
          <w:i/>
          <w:iCs/>
          <w:kern w:val="2"/>
          <w:sz w:val="18"/>
          <w:szCs w:val="18"/>
          <w14:ligatures w14:val="standardContextual"/>
        </w:rPr>
        <w:t xml:space="preserve">Fonte: </w:t>
      </w:r>
      <w:r>
        <w:rPr>
          <w:rFonts w:eastAsia="Aptos" w:cstheme="minorHAnsi"/>
          <w:i/>
          <w:iCs/>
          <w:kern w:val="2"/>
          <w:sz w:val="18"/>
          <w:szCs w:val="18"/>
          <w14:ligatures w14:val="standardContextual"/>
        </w:rPr>
        <w:t>Regione Marche,</w:t>
      </w:r>
      <w:r w:rsidRPr="00063D2B">
        <w:rPr>
          <w:rFonts w:eastAsia="Aptos" w:cstheme="minorHAnsi"/>
          <w:i/>
          <w:iCs/>
          <w:kern w:val="2"/>
          <w:sz w:val="18"/>
          <w:szCs w:val="18"/>
          <w14:ligatures w14:val="standardContextual"/>
        </w:rPr>
        <w:t xml:space="preserve"> </w:t>
      </w:r>
      <w:r>
        <w:rPr>
          <w:rFonts w:eastAsia="Aptos" w:cstheme="minorHAnsi"/>
          <w:i/>
          <w:iCs/>
          <w:kern w:val="2"/>
          <w:sz w:val="18"/>
          <w:szCs w:val="18"/>
          <w14:ligatures w14:val="standardContextual"/>
        </w:rPr>
        <w:t>aprile</w:t>
      </w:r>
      <w:r w:rsidRPr="00063D2B">
        <w:rPr>
          <w:rFonts w:eastAsia="Aptos" w:cstheme="minorHAnsi"/>
          <w:i/>
          <w:iCs/>
          <w:kern w:val="2"/>
          <w:sz w:val="18"/>
          <w:szCs w:val="18"/>
          <w14:ligatures w14:val="standardContextual"/>
        </w:rPr>
        <w:t xml:space="preserve"> 2024</w:t>
      </w:r>
    </w:p>
    <w:p w14:paraId="6D4EA724" w14:textId="37ADAD4B" w:rsidR="00134147" w:rsidRDefault="00F47EEE" w:rsidP="00134147">
      <w:pPr>
        <w:spacing w:after="120" w:line="276" w:lineRule="auto"/>
        <w:jc w:val="both"/>
        <w:rPr>
          <w:rFonts w:eastAsia="Aptos" w:cstheme="minorHAnsi"/>
          <w:kern w:val="2"/>
          <w14:ligatures w14:val="standardContextual"/>
        </w:rPr>
      </w:pPr>
      <w:r>
        <w:rPr>
          <w:rFonts w:eastAsia="Aptos" w:cstheme="minorHAnsi"/>
          <w:kern w:val="2"/>
          <w14:ligatures w14:val="standardContextual"/>
        </w:rPr>
        <w:lastRenderedPageBreak/>
        <w:t>È</w:t>
      </w:r>
      <w:r w:rsidR="00134147">
        <w:rPr>
          <w:rFonts w:eastAsia="Aptos" w:cstheme="minorHAnsi"/>
          <w:kern w:val="2"/>
          <w14:ligatures w14:val="standardContextual"/>
        </w:rPr>
        <w:t xml:space="preserve"> riportata</w:t>
      </w:r>
      <w:r w:rsidR="00103B89">
        <w:rPr>
          <w:rFonts w:eastAsia="Aptos" w:cstheme="minorHAnsi"/>
          <w:kern w:val="2"/>
          <w14:ligatures w14:val="standardContextual"/>
        </w:rPr>
        <w:t xml:space="preserve"> di seguito</w:t>
      </w:r>
      <w:r w:rsidR="00134147">
        <w:rPr>
          <w:rFonts w:eastAsia="Aptos" w:cstheme="minorHAnsi"/>
          <w:kern w:val="2"/>
          <w14:ligatures w14:val="standardContextual"/>
        </w:rPr>
        <w:t xml:space="preserve"> la distribuzione territoriale, a livello comunale, dei contributi erogati alle micro e piccole imprese. I comuni che sono risultati essere più attivi, in termini di partecipazione delle imprese, considerando 200 mila euro come soglia minima sono: Senigallia (</w:t>
      </w:r>
      <w:r w:rsidR="00134147" w:rsidRPr="00134147">
        <w:rPr>
          <w:rFonts w:eastAsia="Aptos" w:cstheme="minorHAnsi"/>
          <w:kern w:val="2"/>
          <w14:ligatures w14:val="standardContextual"/>
        </w:rPr>
        <w:t>552</w:t>
      </w:r>
      <w:r w:rsidR="00134147">
        <w:rPr>
          <w:rFonts w:eastAsia="Aptos" w:cstheme="minorHAnsi"/>
          <w:kern w:val="2"/>
          <w14:ligatures w14:val="standardContextual"/>
        </w:rPr>
        <w:t xml:space="preserve"> </w:t>
      </w:r>
      <w:r w:rsidR="00134147" w:rsidRPr="00134147">
        <w:rPr>
          <w:rFonts w:eastAsia="Aptos" w:cstheme="minorHAnsi"/>
          <w:kern w:val="2"/>
          <w14:ligatures w14:val="standardContextual"/>
        </w:rPr>
        <w:t>500</w:t>
      </w:r>
      <w:r w:rsidR="00134147">
        <w:rPr>
          <w:rFonts w:eastAsia="Aptos" w:cstheme="minorHAnsi"/>
          <w:kern w:val="2"/>
          <w14:ligatures w14:val="standardContextual"/>
        </w:rPr>
        <w:t xml:space="preserve">,00 €), Ascoli </w:t>
      </w:r>
      <w:r w:rsidR="00B52243">
        <w:rPr>
          <w:rFonts w:eastAsia="Aptos" w:cstheme="minorHAnsi"/>
          <w:kern w:val="2"/>
          <w14:ligatures w14:val="standardContextual"/>
        </w:rPr>
        <w:t>Piceno</w:t>
      </w:r>
      <w:r w:rsidR="00134147">
        <w:rPr>
          <w:rFonts w:eastAsia="Aptos" w:cstheme="minorHAnsi"/>
          <w:kern w:val="2"/>
          <w14:ligatures w14:val="standardContextual"/>
        </w:rPr>
        <w:t xml:space="preserve"> (</w:t>
      </w:r>
      <w:r w:rsidR="00134147" w:rsidRPr="00134147">
        <w:rPr>
          <w:rFonts w:eastAsia="Aptos" w:cstheme="minorHAnsi"/>
          <w:kern w:val="2"/>
          <w14:ligatures w14:val="standardContextual"/>
        </w:rPr>
        <w:t>501.926,78 €</w:t>
      </w:r>
      <w:r w:rsidR="00134147">
        <w:rPr>
          <w:rFonts w:eastAsia="Aptos" w:cstheme="minorHAnsi"/>
          <w:kern w:val="2"/>
          <w14:ligatures w14:val="standardContextual"/>
        </w:rPr>
        <w:t xml:space="preserve">), </w:t>
      </w:r>
      <w:r w:rsidR="00134147" w:rsidRPr="00134147">
        <w:rPr>
          <w:rFonts w:eastAsia="Aptos" w:cstheme="minorHAnsi"/>
          <w:kern w:val="2"/>
          <w14:ligatures w14:val="standardContextual"/>
        </w:rPr>
        <w:t>Ancona</w:t>
      </w:r>
      <w:r w:rsidR="00134147">
        <w:rPr>
          <w:rFonts w:eastAsia="Aptos" w:cstheme="minorHAnsi"/>
          <w:kern w:val="2"/>
          <w14:ligatures w14:val="standardContextual"/>
        </w:rPr>
        <w:t xml:space="preserve"> (</w:t>
      </w:r>
      <w:r w:rsidR="00134147" w:rsidRPr="00134147">
        <w:rPr>
          <w:rFonts w:eastAsia="Aptos" w:cstheme="minorHAnsi"/>
          <w:kern w:val="2"/>
          <w14:ligatures w14:val="standardContextual"/>
        </w:rPr>
        <w:t>352.466,67 €</w:t>
      </w:r>
      <w:r w:rsidR="00134147">
        <w:rPr>
          <w:rFonts w:eastAsia="Aptos" w:cstheme="minorHAnsi"/>
          <w:kern w:val="2"/>
          <w14:ligatures w14:val="standardContextual"/>
        </w:rPr>
        <w:t xml:space="preserve">), </w:t>
      </w:r>
      <w:r w:rsidR="00134147" w:rsidRPr="00134147">
        <w:rPr>
          <w:rFonts w:eastAsia="Aptos" w:cstheme="minorHAnsi"/>
          <w:kern w:val="2"/>
          <w14:ligatures w14:val="standardContextual"/>
        </w:rPr>
        <w:t>Jesi</w:t>
      </w:r>
      <w:r w:rsidR="00134147">
        <w:rPr>
          <w:rFonts w:eastAsia="Aptos" w:cstheme="minorHAnsi"/>
          <w:kern w:val="2"/>
          <w14:ligatures w14:val="standardContextual"/>
        </w:rPr>
        <w:t xml:space="preserve"> (</w:t>
      </w:r>
      <w:r w:rsidR="00134147" w:rsidRPr="00134147">
        <w:rPr>
          <w:rFonts w:eastAsia="Aptos" w:cstheme="minorHAnsi"/>
          <w:kern w:val="2"/>
          <w14:ligatures w14:val="standardContextual"/>
        </w:rPr>
        <w:t>332.265,00 €</w:t>
      </w:r>
      <w:r w:rsidR="00134147">
        <w:rPr>
          <w:rFonts w:eastAsia="Aptos" w:cstheme="minorHAnsi"/>
          <w:kern w:val="2"/>
          <w14:ligatures w14:val="standardContextual"/>
        </w:rPr>
        <w:t xml:space="preserve">), </w:t>
      </w:r>
      <w:r w:rsidR="00B52243" w:rsidRPr="00134147">
        <w:rPr>
          <w:rFonts w:eastAsia="Aptos" w:cstheme="minorHAnsi"/>
          <w:kern w:val="2"/>
          <w14:ligatures w14:val="standardContextual"/>
        </w:rPr>
        <w:t>Macerata</w:t>
      </w:r>
      <w:r w:rsidR="00B52243">
        <w:rPr>
          <w:rFonts w:eastAsia="Aptos" w:cstheme="minorHAnsi"/>
          <w:kern w:val="2"/>
          <w14:ligatures w14:val="standardContextual"/>
        </w:rPr>
        <w:t xml:space="preserve"> </w:t>
      </w:r>
      <w:r w:rsidR="00134147">
        <w:rPr>
          <w:rFonts w:eastAsia="Aptos" w:cstheme="minorHAnsi"/>
          <w:kern w:val="2"/>
          <w14:ligatures w14:val="standardContextual"/>
        </w:rPr>
        <w:t>(</w:t>
      </w:r>
      <w:r w:rsidR="00134147" w:rsidRPr="00134147">
        <w:rPr>
          <w:rFonts w:eastAsia="Aptos" w:cstheme="minorHAnsi"/>
          <w:kern w:val="2"/>
          <w14:ligatures w14:val="standardContextual"/>
        </w:rPr>
        <w:t>330.137,50 €</w:t>
      </w:r>
      <w:r w:rsidR="00134147">
        <w:rPr>
          <w:rFonts w:eastAsia="Aptos" w:cstheme="minorHAnsi"/>
          <w:kern w:val="2"/>
          <w14:ligatures w14:val="standardContextual"/>
        </w:rPr>
        <w:t xml:space="preserve">), </w:t>
      </w:r>
      <w:r w:rsidR="00B52243" w:rsidRPr="00134147">
        <w:rPr>
          <w:rFonts w:eastAsia="Aptos" w:cstheme="minorHAnsi"/>
          <w:kern w:val="2"/>
          <w14:ligatures w14:val="standardContextual"/>
        </w:rPr>
        <w:t>Pesaro</w:t>
      </w:r>
      <w:r w:rsidR="00B52243">
        <w:rPr>
          <w:rFonts w:eastAsia="Aptos" w:cstheme="minorHAnsi"/>
          <w:kern w:val="2"/>
          <w14:ligatures w14:val="standardContextual"/>
        </w:rPr>
        <w:t xml:space="preserve"> </w:t>
      </w:r>
      <w:r w:rsidR="00134147">
        <w:rPr>
          <w:rFonts w:eastAsia="Aptos" w:cstheme="minorHAnsi"/>
          <w:kern w:val="2"/>
          <w14:ligatures w14:val="standardContextual"/>
        </w:rPr>
        <w:t>(</w:t>
      </w:r>
      <w:r w:rsidR="00134147" w:rsidRPr="00134147">
        <w:rPr>
          <w:rFonts w:eastAsia="Aptos" w:cstheme="minorHAnsi"/>
          <w:kern w:val="2"/>
          <w14:ligatures w14:val="standardContextual"/>
        </w:rPr>
        <w:t>287.500,00 €</w:t>
      </w:r>
      <w:r w:rsidR="00134147">
        <w:rPr>
          <w:rFonts w:eastAsia="Aptos" w:cstheme="minorHAnsi"/>
          <w:kern w:val="2"/>
          <w14:ligatures w14:val="standardContextual"/>
        </w:rPr>
        <w:t xml:space="preserve">), </w:t>
      </w:r>
      <w:r w:rsidR="00B52243" w:rsidRPr="00134147">
        <w:rPr>
          <w:rFonts w:eastAsia="Aptos" w:cstheme="minorHAnsi"/>
          <w:kern w:val="2"/>
          <w14:ligatures w14:val="standardContextual"/>
        </w:rPr>
        <w:t>San Benedetto del Tronto</w:t>
      </w:r>
      <w:r w:rsidR="00B52243">
        <w:rPr>
          <w:rFonts w:eastAsia="Aptos" w:cstheme="minorHAnsi"/>
          <w:kern w:val="2"/>
          <w14:ligatures w14:val="standardContextual"/>
        </w:rPr>
        <w:t xml:space="preserve"> (</w:t>
      </w:r>
      <w:r w:rsidR="00134147" w:rsidRPr="00134147">
        <w:rPr>
          <w:rFonts w:eastAsia="Aptos" w:cstheme="minorHAnsi"/>
          <w:kern w:val="2"/>
          <w14:ligatures w14:val="standardContextual"/>
        </w:rPr>
        <w:t>237.500,00 €</w:t>
      </w:r>
      <w:r w:rsidR="00B52243">
        <w:rPr>
          <w:rFonts w:eastAsia="Aptos" w:cstheme="minorHAnsi"/>
          <w:kern w:val="2"/>
          <w14:ligatures w14:val="standardContextual"/>
        </w:rPr>
        <w:t xml:space="preserve">) e </w:t>
      </w:r>
      <w:r w:rsidR="00B52243" w:rsidRPr="00134147">
        <w:rPr>
          <w:rFonts w:eastAsia="Aptos" w:cstheme="minorHAnsi"/>
          <w:kern w:val="2"/>
          <w14:ligatures w14:val="standardContextual"/>
        </w:rPr>
        <w:t>Osimo</w:t>
      </w:r>
      <w:r w:rsidR="00B52243">
        <w:rPr>
          <w:rFonts w:eastAsia="Aptos" w:cstheme="minorHAnsi"/>
          <w:kern w:val="2"/>
          <w14:ligatures w14:val="standardContextual"/>
        </w:rPr>
        <w:t xml:space="preserve"> (</w:t>
      </w:r>
      <w:r w:rsidR="00134147" w:rsidRPr="00134147">
        <w:rPr>
          <w:rFonts w:eastAsia="Aptos" w:cstheme="minorHAnsi"/>
          <w:kern w:val="2"/>
          <w14:ligatures w14:val="standardContextual"/>
        </w:rPr>
        <w:t>200.000,00 €</w:t>
      </w:r>
      <w:r w:rsidR="00B52243">
        <w:rPr>
          <w:rFonts w:eastAsia="Aptos" w:cstheme="minorHAnsi"/>
          <w:kern w:val="2"/>
          <w14:ligatures w14:val="standardContextual"/>
        </w:rPr>
        <w:t>).</w:t>
      </w:r>
    </w:p>
    <w:p w14:paraId="03567213" w14:textId="00C8147F" w:rsidR="00AE2701" w:rsidRPr="00D33902" w:rsidRDefault="00AE2701" w:rsidP="00B52243">
      <w:pPr>
        <w:spacing w:after="0" w:line="240" w:lineRule="auto"/>
        <w:ind w:left="2410"/>
        <w:jc w:val="both"/>
        <w:rPr>
          <w:rFonts w:eastAsia="Aptos" w:cstheme="minorHAnsi"/>
          <w:i/>
          <w:iCs/>
          <w:kern w:val="2"/>
          <w:sz w:val="20"/>
          <w:szCs w:val="20"/>
          <w14:ligatures w14:val="standardContextual"/>
        </w:rPr>
      </w:pPr>
      <w:r>
        <w:rPr>
          <w:rFonts w:eastAsia="Aptos" w:cstheme="minorHAnsi"/>
          <w:i/>
          <w:iCs/>
          <w:kern w:val="2"/>
          <w:sz w:val="20"/>
          <w:szCs w:val="20"/>
          <w14:ligatures w14:val="standardContextual"/>
        </w:rPr>
        <w:t>Fig</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5</w:t>
      </w:r>
      <w:r w:rsidRPr="00A502C1">
        <w:rPr>
          <w:rFonts w:eastAsia="Aptos" w:cstheme="minorHAnsi"/>
          <w:i/>
          <w:iCs/>
          <w:kern w:val="2"/>
          <w:sz w:val="20"/>
          <w:szCs w:val="20"/>
          <w14:ligatures w14:val="standardContextual"/>
        </w:rPr>
        <w:t xml:space="preserve"> </w:t>
      </w:r>
      <w:r w:rsidR="00134147">
        <w:rPr>
          <w:rFonts w:eastAsia="Aptos" w:cstheme="minorHAnsi"/>
          <w:i/>
          <w:iCs/>
          <w:kern w:val="2"/>
          <w:sz w:val="20"/>
          <w:szCs w:val="20"/>
          <w14:ligatures w14:val="standardContextual"/>
        </w:rPr>
        <w:t>Distribuzione dei c</w:t>
      </w:r>
      <w:r>
        <w:rPr>
          <w:rFonts w:eastAsia="Aptos" w:cstheme="minorHAnsi"/>
          <w:i/>
          <w:iCs/>
          <w:kern w:val="2"/>
          <w:sz w:val="20"/>
          <w:szCs w:val="20"/>
          <w14:ligatures w14:val="standardContextual"/>
        </w:rPr>
        <w:t>ontribut</w:t>
      </w:r>
      <w:r w:rsidR="00134147">
        <w:rPr>
          <w:rFonts w:eastAsia="Aptos" w:cstheme="minorHAnsi"/>
          <w:i/>
          <w:iCs/>
          <w:kern w:val="2"/>
          <w:sz w:val="20"/>
          <w:szCs w:val="20"/>
          <w14:ligatures w14:val="standardContextual"/>
        </w:rPr>
        <w:t>i</w:t>
      </w:r>
      <w:r>
        <w:rPr>
          <w:rFonts w:eastAsia="Aptos" w:cstheme="minorHAnsi"/>
          <w:i/>
          <w:iCs/>
          <w:kern w:val="2"/>
          <w:sz w:val="20"/>
          <w:szCs w:val="20"/>
          <w14:ligatures w14:val="standardContextual"/>
        </w:rPr>
        <w:t xml:space="preserve"> per </w:t>
      </w:r>
      <w:r w:rsidR="00134147">
        <w:rPr>
          <w:rFonts w:eastAsia="Aptos" w:cstheme="minorHAnsi"/>
          <w:i/>
          <w:iCs/>
          <w:kern w:val="2"/>
          <w:sz w:val="20"/>
          <w:szCs w:val="20"/>
          <w14:ligatures w14:val="standardContextual"/>
        </w:rPr>
        <w:t>comune</w:t>
      </w:r>
    </w:p>
    <w:p w14:paraId="45523E37" w14:textId="2BB8797B" w:rsidR="00AE2701" w:rsidRDefault="00AE2701" w:rsidP="00AE2701">
      <w:pPr>
        <w:spacing w:after="0" w:line="240" w:lineRule="auto"/>
        <w:jc w:val="center"/>
        <w:rPr>
          <w:rFonts w:eastAsia="Aptos" w:cstheme="minorHAnsi"/>
          <w:kern w:val="2"/>
          <w14:ligatures w14:val="standardContextual"/>
        </w:rPr>
      </w:pPr>
      <w:r>
        <w:rPr>
          <w:rFonts w:eastAsia="Aptos" w:cstheme="minorHAnsi"/>
          <w:noProof/>
          <w:kern w:val="2"/>
          <w14:ligatures w14:val="standardContextual"/>
        </w:rPr>
        <w:drawing>
          <wp:inline distT="0" distB="0" distL="0" distR="0" wp14:anchorId="5F19276B" wp14:editId="42147D8F">
            <wp:extent cx="3034992" cy="2912533"/>
            <wp:effectExtent l="0" t="0" r="0" b="2540"/>
            <wp:docPr id="822695354" name="Immagine 1" descr="Immagine che contiene mapp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95354" name="Immagine 1" descr="Immagine che contiene mappa, testo&#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1891" cy="2938347"/>
                    </a:xfrm>
                    <a:prstGeom prst="rect">
                      <a:avLst/>
                    </a:prstGeom>
                    <a:noFill/>
                  </pic:spPr>
                </pic:pic>
              </a:graphicData>
            </a:graphic>
          </wp:inline>
        </w:drawing>
      </w:r>
    </w:p>
    <w:p w14:paraId="1EB35AA1" w14:textId="77777777" w:rsidR="00AE2701" w:rsidRPr="00063D2B" w:rsidRDefault="00AE2701" w:rsidP="00B52243">
      <w:pPr>
        <w:spacing w:after="120" w:line="240" w:lineRule="auto"/>
        <w:ind w:left="2410" w:right="1418"/>
        <w:jc w:val="both"/>
        <w:rPr>
          <w:rFonts w:eastAsia="Aptos" w:cstheme="minorHAnsi"/>
          <w:i/>
          <w:iCs/>
          <w:kern w:val="2"/>
          <w:sz w:val="18"/>
          <w:szCs w:val="18"/>
          <w14:ligatures w14:val="standardContextual"/>
        </w:rPr>
      </w:pPr>
      <w:r w:rsidRPr="00063D2B">
        <w:rPr>
          <w:rFonts w:eastAsia="Aptos" w:cstheme="minorHAnsi"/>
          <w:i/>
          <w:iCs/>
          <w:kern w:val="2"/>
          <w:sz w:val="18"/>
          <w:szCs w:val="18"/>
          <w14:ligatures w14:val="standardContextual"/>
        </w:rPr>
        <w:t xml:space="preserve">Fonte: </w:t>
      </w:r>
      <w:r>
        <w:rPr>
          <w:rFonts w:eastAsia="Aptos" w:cstheme="minorHAnsi"/>
          <w:i/>
          <w:iCs/>
          <w:kern w:val="2"/>
          <w:sz w:val="18"/>
          <w:szCs w:val="18"/>
          <w14:ligatures w14:val="standardContextual"/>
        </w:rPr>
        <w:t>Regione Marche,</w:t>
      </w:r>
      <w:r w:rsidRPr="00063D2B">
        <w:rPr>
          <w:rFonts w:eastAsia="Aptos" w:cstheme="minorHAnsi"/>
          <w:i/>
          <w:iCs/>
          <w:kern w:val="2"/>
          <w:sz w:val="18"/>
          <w:szCs w:val="18"/>
          <w14:ligatures w14:val="standardContextual"/>
        </w:rPr>
        <w:t xml:space="preserve"> </w:t>
      </w:r>
      <w:r>
        <w:rPr>
          <w:rFonts w:eastAsia="Aptos" w:cstheme="minorHAnsi"/>
          <w:i/>
          <w:iCs/>
          <w:kern w:val="2"/>
          <w:sz w:val="18"/>
          <w:szCs w:val="18"/>
          <w14:ligatures w14:val="standardContextual"/>
        </w:rPr>
        <w:t>aprile</w:t>
      </w:r>
      <w:r w:rsidRPr="00063D2B">
        <w:rPr>
          <w:rFonts w:eastAsia="Aptos" w:cstheme="minorHAnsi"/>
          <w:i/>
          <w:iCs/>
          <w:kern w:val="2"/>
          <w:sz w:val="18"/>
          <w:szCs w:val="18"/>
          <w14:ligatures w14:val="standardContextual"/>
        </w:rPr>
        <w:t xml:space="preserve"> 2024</w:t>
      </w:r>
    </w:p>
    <w:p w14:paraId="05084EF4" w14:textId="7F29A130" w:rsidR="00B95D97" w:rsidRDefault="00F56537" w:rsidP="00352FEC">
      <w:pPr>
        <w:spacing w:after="120" w:line="276" w:lineRule="auto"/>
        <w:jc w:val="both"/>
        <w:rPr>
          <w:rFonts w:eastAsia="Aptos" w:cstheme="minorHAnsi"/>
          <w:kern w:val="2"/>
          <w14:ligatures w14:val="standardContextual"/>
        </w:rPr>
      </w:pPr>
      <w:r>
        <w:rPr>
          <w:rFonts w:eastAsia="Aptos" w:cstheme="minorHAnsi"/>
          <w:kern w:val="2"/>
          <w14:ligatures w14:val="standardContextual"/>
        </w:rPr>
        <w:t xml:space="preserve">Il settore di attività economica (NACE) delle piccole e microimprese che hanno ricevuto un contributo per la capitalizzazione e patrimonializzazione che è risultato essere prevalente è quello delle </w:t>
      </w:r>
      <w:r w:rsidRPr="00F56537">
        <w:rPr>
          <w:rFonts w:eastAsia="Aptos" w:cstheme="minorHAnsi"/>
          <w:i/>
          <w:iCs/>
          <w:kern w:val="2"/>
          <w14:ligatures w14:val="standardContextual"/>
        </w:rPr>
        <w:t>(C.</w:t>
      </w:r>
      <w:r>
        <w:rPr>
          <w:rFonts w:eastAsia="Aptos" w:cstheme="minorHAnsi"/>
          <w:i/>
          <w:iCs/>
          <w:kern w:val="2"/>
          <w14:ligatures w14:val="standardContextual"/>
        </w:rPr>
        <w:t>)</w:t>
      </w:r>
      <w:r w:rsidRPr="00F56537">
        <w:rPr>
          <w:rFonts w:eastAsia="Aptos" w:cstheme="minorHAnsi"/>
          <w:i/>
          <w:iCs/>
          <w:kern w:val="2"/>
          <w14:ligatures w14:val="standardContextual"/>
        </w:rPr>
        <w:t xml:space="preserve"> Attività manifatturiere</w:t>
      </w:r>
      <w:r>
        <w:rPr>
          <w:rFonts w:eastAsia="Aptos" w:cstheme="minorHAnsi"/>
          <w:kern w:val="2"/>
          <w14:ligatures w14:val="standardContextual"/>
        </w:rPr>
        <w:t xml:space="preserve"> con 51 imprese per un totale di circa 1,2 </w:t>
      </w:r>
      <w:proofErr w:type="spellStart"/>
      <w:r>
        <w:rPr>
          <w:rFonts w:eastAsia="Aptos" w:cstheme="minorHAnsi"/>
          <w:kern w:val="2"/>
          <w14:ligatures w14:val="standardContextual"/>
        </w:rPr>
        <w:t>Meuro</w:t>
      </w:r>
      <w:proofErr w:type="spellEnd"/>
      <w:r>
        <w:rPr>
          <w:rFonts w:eastAsia="Aptos" w:cstheme="minorHAnsi"/>
          <w:kern w:val="2"/>
          <w14:ligatures w14:val="standardContextual"/>
        </w:rPr>
        <w:t xml:space="preserve"> di contributi. Sono state 36 le realtà appartenenti alle </w:t>
      </w:r>
      <w:r w:rsidRPr="00F56537">
        <w:rPr>
          <w:rFonts w:eastAsia="Aptos" w:cstheme="minorHAnsi"/>
          <w:i/>
          <w:iCs/>
          <w:kern w:val="2"/>
          <w14:ligatures w14:val="standardContextual"/>
        </w:rPr>
        <w:t>(L.)</w:t>
      </w:r>
      <w:r>
        <w:rPr>
          <w:rFonts w:eastAsia="Aptos" w:cstheme="minorHAnsi"/>
          <w:kern w:val="2"/>
          <w14:ligatures w14:val="standardContextual"/>
        </w:rPr>
        <w:t xml:space="preserve"> </w:t>
      </w:r>
      <w:r w:rsidRPr="00F56537">
        <w:rPr>
          <w:rFonts w:eastAsia="Aptos" w:cstheme="minorHAnsi"/>
          <w:i/>
          <w:iCs/>
          <w:kern w:val="2"/>
          <w14:ligatures w14:val="standardContextual"/>
        </w:rPr>
        <w:t>Attività immobiliari</w:t>
      </w:r>
      <w:r>
        <w:rPr>
          <w:rFonts w:eastAsia="Aptos" w:cstheme="minorHAnsi"/>
          <w:kern w:val="2"/>
          <w14:ligatures w14:val="standardContextual"/>
        </w:rPr>
        <w:t xml:space="preserve"> per un totale di 877 mila euro di contributi erogati,</w:t>
      </w:r>
      <w:r w:rsidR="00352FEC">
        <w:rPr>
          <w:rFonts w:eastAsia="Aptos" w:cstheme="minorHAnsi"/>
          <w:kern w:val="2"/>
          <w14:ligatures w14:val="standardContextual"/>
        </w:rPr>
        <w:t xml:space="preserve"> così come quelle attive nel (</w:t>
      </w:r>
      <w:r w:rsidR="00352FEC" w:rsidRPr="00352FEC">
        <w:rPr>
          <w:rFonts w:eastAsia="Aptos" w:cstheme="minorHAnsi"/>
          <w:kern w:val="2"/>
          <w14:ligatures w14:val="standardContextual"/>
        </w:rPr>
        <w:t>G.</w:t>
      </w:r>
      <w:r w:rsidR="00352FEC">
        <w:rPr>
          <w:rFonts w:eastAsia="Aptos" w:cstheme="minorHAnsi"/>
          <w:kern w:val="2"/>
          <w14:ligatures w14:val="standardContextual"/>
        </w:rPr>
        <w:t>)</w:t>
      </w:r>
      <w:r w:rsidR="00352FEC" w:rsidRPr="00352FEC">
        <w:rPr>
          <w:rFonts w:eastAsia="Aptos" w:cstheme="minorHAnsi"/>
          <w:kern w:val="2"/>
          <w14:ligatures w14:val="standardContextual"/>
        </w:rPr>
        <w:t xml:space="preserve"> Commercio all'ingrosso e al dettaglio;</w:t>
      </w:r>
      <w:r w:rsidR="00352FEC">
        <w:rPr>
          <w:rFonts w:eastAsia="Aptos" w:cstheme="minorHAnsi"/>
          <w:kern w:val="2"/>
          <w14:ligatures w14:val="standardContextual"/>
        </w:rPr>
        <w:t xml:space="preserve"> </w:t>
      </w:r>
      <w:r w:rsidR="00352FEC" w:rsidRPr="00352FEC">
        <w:rPr>
          <w:rFonts w:eastAsia="Aptos" w:cstheme="minorHAnsi"/>
          <w:kern w:val="2"/>
          <w14:ligatures w14:val="standardContextual"/>
        </w:rPr>
        <w:t>riparazione di autoveicoli e motocicli</w:t>
      </w:r>
      <w:r w:rsidR="00352FEC">
        <w:rPr>
          <w:rFonts w:eastAsia="Aptos" w:cstheme="minorHAnsi"/>
          <w:kern w:val="2"/>
          <w14:ligatures w14:val="standardContextual"/>
        </w:rPr>
        <w:t xml:space="preserve"> con un contributo di 801 mila euro.</w:t>
      </w:r>
    </w:p>
    <w:p w14:paraId="7C594C3C" w14:textId="518D8330" w:rsidR="00D33902" w:rsidRPr="00D33902" w:rsidRDefault="00D33902" w:rsidP="00D33902">
      <w:pPr>
        <w:spacing w:after="0" w:line="240" w:lineRule="auto"/>
        <w:jc w:val="both"/>
        <w:rPr>
          <w:rFonts w:eastAsia="Aptos" w:cstheme="minorHAnsi"/>
          <w:i/>
          <w:iCs/>
          <w:kern w:val="2"/>
          <w:sz w:val="20"/>
          <w:szCs w:val="20"/>
          <w14:ligatures w14:val="standardContextual"/>
        </w:rPr>
      </w:pPr>
      <w:proofErr w:type="spellStart"/>
      <w:r w:rsidRPr="00A502C1">
        <w:rPr>
          <w:rFonts w:eastAsia="Aptos" w:cstheme="minorHAnsi"/>
          <w:i/>
          <w:iCs/>
          <w:kern w:val="2"/>
          <w:sz w:val="20"/>
          <w:szCs w:val="20"/>
          <w14:ligatures w14:val="standardContextual"/>
        </w:rPr>
        <w:t>Tab</w:t>
      </w:r>
      <w:proofErr w:type="spellEnd"/>
      <w:r w:rsidRPr="00A502C1">
        <w:rPr>
          <w:rFonts w:eastAsia="Aptos" w:cstheme="minorHAnsi"/>
          <w:i/>
          <w:iCs/>
          <w:kern w:val="2"/>
          <w:sz w:val="20"/>
          <w:szCs w:val="20"/>
          <w14:ligatures w14:val="standardContextual"/>
        </w:rPr>
        <w:t xml:space="preserve">. </w:t>
      </w:r>
      <w:r w:rsidR="005C77DE">
        <w:rPr>
          <w:rFonts w:eastAsia="Aptos" w:cstheme="minorHAnsi"/>
          <w:i/>
          <w:iCs/>
          <w:kern w:val="2"/>
          <w:sz w:val="20"/>
          <w:szCs w:val="20"/>
          <w14:ligatures w14:val="standardContextual"/>
        </w:rPr>
        <w:t>9</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Contributo per settore attività economica e</w:t>
      </w:r>
      <w:r w:rsidR="006A5E0F">
        <w:rPr>
          <w:rFonts w:eastAsia="Aptos" w:cstheme="minorHAnsi"/>
          <w:i/>
          <w:iCs/>
          <w:kern w:val="2"/>
          <w:sz w:val="20"/>
          <w:szCs w:val="20"/>
          <w14:ligatures w14:val="standardContextual"/>
        </w:rPr>
        <w:t xml:space="preserve"> numero</w:t>
      </w:r>
      <w:r>
        <w:rPr>
          <w:rFonts w:eastAsia="Aptos" w:cstheme="minorHAnsi"/>
          <w:i/>
          <w:iCs/>
          <w:kern w:val="2"/>
          <w:sz w:val="20"/>
          <w:szCs w:val="20"/>
          <w14:ligatures w14:val="standardContextual"/>
        </w:rPr>
        <w:t xml:space="preserve"> imprese</w:t>
      </w:r>
    </w:p>
    <w:tbl>
      <w:tblPr>
        <w:tblStyle w:val="Grigliatabella"/>
        <w:tblW w:w="0" w:type="auto"/>
        <w:tblLook w:val="04A0" w:firstRow="1" w:lastRow="0" w:firstColumn="1" w:lastColumn="0" w:noHBand="0" w:noVBand="1"/>
      </w:tblPr>
      <w:tblGrid>
        <w:gridCol w:w="6516"/>
        <w:gridCol w:w="1134"/>
        <w:gridCol w:w="1701"/>
      </w:tblGrid>
      <w:tr w:rsidR="000762AC" w:rsidRPr="00B95D97" w14:paraId="1B55C12F" w14:textId="77777777" w:rsidTr="000762AC">
        <w:trPr>
          <w:trHeight w:val="63"/>
          <w:tblHeader/>
        </w:trPr>
        <w:tc>
          <w:tcPr>
            <w:tcW w:w="6516" w:type="dxa"/>
            <w:shd w:val="clear" w:color="auto" w:fill="2F5496" w:themeFill="accent1" w:themeFillShade="BF"/>
          </w:tcPr>
          <w:p w14:paraId="6F28C54D" w14:textId="75D7B813" w:rsidR="000762AC" w:rsidRPr="00B95D97" w:rsidRDefault="000762AC" w:rsidP="00B95D97">
            <w:pPr>
              <w:autoSpaceDE w:val="0"/>
              <w:autoSpaceDN w:val="0"/>
              <w:adjustRightInd w:val="0"/>
              <w:jc w:val="center"/>
              <w:rPr>
                <w:rFonts w:cstheme="minorHAnsi"/>
                <w:b/>
                <w:color w:val="FFFFFF" w:themeColor="background1"/>
                <w:sz w:val="20"/>
                <w:szCs w:val="20"/>
              </w:rPr>
            </w:pPr>
            <w:r w:rsidRPr="00B95D97">
              <w:rPr>
                <w:rFonts w:cstheme="minorHAnsi"/>
                <w:b/>
                <w:color w:val="FFFFFF" w:themeColor="background1"/>
                <w:sz w:val="20"/>
                <w:szCs w:val="20"/>
              </w:rPr>
              <w:t xml:space="preserve">NACE </w:t>
            </w:r>
            <w:r>
              <w:rPr>
                <w:rFonts w:cstheme="minorHAnsi"/>
                <w:b/>
                <w:color w:val="FFFFFF" w:themeColor="background1"/>
                <w:sz w:val="20"/>
                <w:szCs w:val="20"/>
              </w:rPr>
              <w:t xml:space="preserve">- </w:t>
            </w:r>
            <w:r w:rsidRPr="00B95D97">
              <w:rPr>
                <w:rFonts w:cstheme="minorHAnsi"/>
                <w:b/>
                <w:color w:val="FFFFFF" w:themeColor="background1"/>
                <w:sz w:val="20"/>
                <w:szCs w:val="20"/>
              </w:rPr>
              <w:t>Settore attività economica</w:t>
            </w:r>
          </w:p>
        </w:tc>
        <w:tc>
          <w:tcPr>
            <w:tcW w:w="1134" w:type="dxa"/>
            <w:shd w:val="clear" w:color="auto" w:fill="2F5496" w:themeFill="accent1" w:themeFillShade="BF"/>
            <w:noWrap/>
            <w:hideMark/>
          </w:tcPr>
          <w:p w14:paraId="0A261BB4" w14:textId="08A1B638" w:rsidR="000762AC" w:rsidRPr="00B95D97" w:rsidRDefault="000762AC" w:rsidP="00B95D97">
            <w:pPr>
              <w:autoSpaceDE w:val="0"/>
              <w:autoSpaceDN w:val="0"/>
              <w:adjustRightInd w:val="0"/>
              <w:jc w:val="center"/>
              <w:rPr>
                <w:rFonts w:cstheme="minorHAnsi"/>
                <w:b/>
                <w:color w:val="FFFFFF" w:themeColor="background1"/>
                <w:sz w:val="20"/>
                <w:szCs w:val="20"/>
              </w:rPr>
            </w:pPr>
            <w:r w:rsidRPr="00B95D97">
              <w:rPr>
                <w:rFonts w:cstheme="minorHAnsi"/>
                <w:b/>
                <w:color w:val="FFFFFF" w:themeColor="background1"/>
                <w:sz w:val="20"/>
                <w:szCs w:val="20"/>
              </w:rPr>
              <w:t>N. imprese</w:t>
            </w:r>
          </w:p>
        </w:tc>
        <w:tc>
          <w:tcPr>
            <w:tcW w:w="1701" w:type="dxa"/>
            <w:shd w:val="clear" w:color="auto" w:fill="2F5496" w:themeFill="accent1" w:themeFillShade="BF"/>
            <w:noWrap/>
            <w:hideMark/>
          </w:tcPr>
          <w:p w14:paraId="73017E43" w14:textId="77777777" w:rsidR="000762AC" w:rsidRPr="00B95D97" w:rsidRDefault="000762AC" w:rsidP="00B95D97">
            <w:pPr>
              <w:autoSpaceDE w:val="0"/>
              <w:autoSpaceDN w:val="0"/>
              <w:adjustRightInd w:val="0"/>
              <w:jc w:val="center"/>
              <w:rPr>
                <w:rFonts w:cstheme="minorHAnsi"/>
                <w:b/>
                <w:color w:val="FFFFFF" w:themeColor="background1"/>
                <w:sz w:val="20"/>
                <w:szCs w:val="20"/>
              </w:rPr>
            </w:pPr>
            <w:r w:rsidRPr="00B95D97">
              <w:rPr>
                <w:rFonts w:cstheme="minorHAnsi"/>
                <w:b/>
                <w:color w:val="FFFFFF" w:themeColor="background1"/>
                <w:sz w:val="20"/>
                <w:szCs w:val="20"/>
              </w:rPr>
              <w:t>Contributo</w:t>
            </w:r>
          </w:p>
        </w:tc>
      </w:tr>
      <w:tr w:rsidR="000762AC" w:rsidRPr="00B95D97" w14:paraId="4DCC349B" w14:textId="77777777" w:rsidTr="000762AC">
        <w:trPr>
          <w:trHeight w:val="63"/>
        </w:trPr>
        <w:tc>
          <w:tcPr>
            <w:tcW w:w="6516" w:type="dxa"/>
          </w:tcPr>
          <w:p w14:paraId="2783DD2B" w14:textId="3D09E8CC" w:rsidR="000762AC" w:rsidRPr="00B95D97" w:rsidRDefault="000762AC" w:rsidP="005E5068">
            <w:pPr>
              <w:jc w:val="both"/>
              <w:rPr>
                <w:rFonts w:eastAsia="Times New Roman" w:cstheme="minorHAnsi"/>
                <w:color w:val="000000"/>
                <w:sz w:val="20"/>
                <w:szCs w:val="20"/>
                <w:lang w:eastAsia="it-IT"/>
              </w:rPr>
            </w:pPr>
            <w:r>
              <w:rPr>
                <w:rFonts w:eastAsia="Times New Roman" w:cstheme="minorHAnsi"/>
                <w:color w:val="000000"/>
                <w:sz w:val="20"/>
                <w:szCs w:val="20"/>
                <w:lang w:eastAsia="it-IT"/>
              </w:rPr>
              <w:t xml:space="preserve">A. </w:t>
            </w:r>
            <w:r w:rsidRPr="00B95D97">
              <w:rPr>
                <w:rFonts w:eastAsia="Times New Roman" w:cstheme="minorHAnsi"/>
                <w:color w:val="000000"/>
                <w:sz w:val="20"/>
                <w:szCs w:val="20"/>
                <w:lang w:eastAsia="it-IT"/>
              </w:rPr>
              <w:t>Agricoltura, silvicoltura e pesca</w:t>
            </w:r>
          </w:p>
        </w:tc>
        <w:tc>
          <w:tcPr>
            <w:tcW w:w="1134" w:type="dxa"/>
            <w:noWrap/>
            <w:hideMark/>
          </w:tcPr>
          <w:p w14:paraId="08C88088"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7</w:t>
            </w:r>
          </w:p>
        </w:tc>
        <w:tc>
          <w:tcPr>
            <w:tcW w:w="1701" w:type="dxa"/>
            <w:noWrap/>
            <w:hideMark/>
          </w:tcPr>
          <w:p w14:paraId="0EF7A6F1" w14:textId="7CDD44F9"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175.000,00</w:t>
            </w:r>
            <w:r>
              <w:rPr>
                <w:rFonts w:eastAsia="Times New Roman" w:cstheme="minorHAnsi"/>
                <w:color w:val="000000"/>
                <w:sz w:val="20"/>
                <w:szCs w:val="20"/>
                <w:lang w:eastAsia="it-IT"/>
              </w:rPr>
              <w:t xml:space="preserve"> €</w:t>
            </w:r>
          </w:p>
        </w:tc>
      </w:tr>
      <w:tr w:rsidR="000762AC" w:rsidRPr="00B95D97" w14:paraId="1AEB179E" w14:textId="77777777" w:rsidTr="00B52243">
        <w:trPr>
          <w:trHeight w:val="63"/>
        </w:trPr>
        <w:tc>
          <w:tcPr>
            <w:tcW w:w="6516" w:type="dxa"/>
            <w:shd w:val="clear" w:color="auto" w:fill="D5DCE4" w:themeFill="text2" w:themeFillTint="33"/>
          </w:tcPr>
          <w:p w14:paraId="767134E1" w14:textId="71ACD3A4" w:rsidR="000762AC" w:rsidRPr="00B95D97" w:rsidRDefault="000762AC" w:rsidP="005E5068">
            <w:pPr>
              <w:jc w:val="both"/>
              <w:rPr>
                <w:rFonts w:eastAsia="Times New Roman" w:cstheme="minorHAnsi"/>
                <w:color w:val="000000"/>
                <w:sz w:val="20"/>
                <w:szCs w:val="20"/>
                <w:lang w:eastAsia="it-IT"/>
              </w:rPr>
            </w:pPr>
            <w:r>
              <w:rPr>
                <w:rFonts w:eastAsia="Times New Roman" w:cstheme="minorHAnsi"/>
                <w:color w:val="000000"/>
                <w:sz w:val="20"/>
                <w:szCs w:val="20"/>
                <w:lang w:eastAsia="it-IT"/>
              </w:rPr>
              <w:t xml:space="preserve">C. </w:t>
            </w:r>
            <w:r w:rsidRPr="00B95D97">
              <w:rPr>
                <w:rFonts w:eastAsia="Times New Roman" w:cstheme="minorHAnsi"/>
                <w:color w:val="000000"/>
                <w:sz w:val="20"/>
                <w:szCs w:val="20"/>
                <w:lang w:eastAsia="it-IT"/>
              </w:rPr>
              <w:t>Attività manifatturiere</w:t>
            </w:r>
          </w:p>
        </w:tc>
        <w:tc>
          <w:tcPr>
            <w:tcW w:w="1134" w:type="dxa"/>
            <w:shd w:val="clear" w:color="auto" w:fill="D5DCE4" w:themeFill="text2" w:themeFillTint="33"/>
            <w:noWrap/>
            <w:hideMark/>
          </w:tcPr>
          <w:p w14:paraId="70068922"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51</w:t>
            </w:r>
          </w:p>
        </w:tc>
        <w:tc>
          <w:tcPr>
            <w:tcW w:w="1701" w:type="dxa"/>
            <w:shd w:val="clear" w:color="auto" w:fill="D5DCE4" w:themeFill="text2" w:themeFillTint="33"/>
            <w:noWrap/>
            <w:hideMark/>
          </w:tcPr>
          <w:p w14:paraId="45C7BEAF" w14:textId="3A749908"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1.191.555,28</w:t>
            </w:r>
            <w:r>
              <w:rPr>
                <w:rFonts w:eastAsia="Times New Roman" w:cstheme="minorHAnsi"/>
                <w:color w:val="000000"/>
                <w:sz w:val="20"/>
                <w:szCs w:val="20"/>
                <w:lang w:eastAsia="it-IT"/>
              </w:rPr>
              <w:t xml:space="preserve"> €</w:t>
            </w:r>
          </w:p>
        </w:tc>
      </w:tr>
      <w:tr w:rsidR="000762AC" w:rsidRPr="00B95D97" w14:paraId="56220E62" w14:textId="77777777" w:rsidTr="00103B89">
        <w:trPr>
          <w:trHeight w:val="63"/>
        </w:trPr>
        <w:tc>
          <w:tcPr>
            <w:tcW w:w="6516" w:type="dxa"/>
          </w:tcPr>
          <w:p w14:paraId="3BAAD5BA" w14:textId="6C54397C" w:rsidR="000762AC" w:rsidRPr="00B95D97" w:rsidRDefault="000762AC" w:rsidP="005E5068">
            <w:pPr>
              <w:jc w:val="both"/>
              <w:rPr>
                <w:rFonts w:eastAsia="Times New Roman" w:cstheme="minorHAnsi"/>
                <w:color w:val="000000"/>
                <w:sz w:val="20"/>
                <w:szCs w:val="20"/>
                <w:lang w:eastAsia="it-IT"/>
              </w:rPr>
            </w:pPr>
            <w:r>
              <w:rPr>
                <w:rFonts w:eastAsia="Times New Roman" w:cstheme="minorHAnsi"/>
                <w:color w:val="000000"/>
                <w:sz w:val="20"/>
                <w:szCs w:val="20"/>
                <w:lang w:eastAsia="it-IT"/>
              </w:rPr>
              <w:t xml:space="preserve">F. </w:t>
            </w:r>
            <w:r w:rsidRPr="00B95D97">
              <w:rPr>
                <w:rFonts w:eastAsia="Times New Roman" w:cstheme="minorHAnsi"/>
                <w:color w:val="000000"/>
                <w:sz w:val="20"/>
                <w:szCs w:val="20"/>
                <w:lang w:eastAsia="it-IT"/>
              </w:rPr>
              <w:t>Costruzioni</w:t>
            </w:r>
          </w:p>
        </w:tc>
        <w:tc>
          <w:tcPr>
            <w:tcW w:w="1134" w:type="dxa"/>
            <w:noWrap/>
            <w:hideMark/>
          </w:tcPr>
          <w:p w14:paraId="23D605CE"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25</w:t>
            </w:r>
          </w:p>
        </w:tc>
        <w:tc>
          <w:tcPr>
            <w:tcW w:w="1701" w:type="dxa"/>
            <w:noWrap/>
            <w:hideMark/>
          </w:tcPr>
          <w:p w14:paraId="64A98361" w14:textId="7E240612"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555.500,00</w:t>
            </w:r>
            <w:r>
              <w:rPr>
                <w:rFonts w:eastAsia="Times New Roman" w:cstheme="minorHAnsi"/>
                <w:color w:val="000000"/>
                <w:sz w:val="20"/>
                <w:szCs w:val="20"/>
                <w:lang w:eastAsia="it-IT"/>
              </w:rPr>
              <w:t xml:space="preserve"> €</w:t>
            </w:r>
          </w:p>
        </w:tc>
      </w:tr>
      <w:tr w:rsidR="000762AC" w:rsidRPr="00B95D97" w14:paraId="404FFD2A" w14:textId="77777777" w:rsidTr="000762AC">
        <w:trPr>
          <w:trHeight w:val="63"/>
        </w:trPr>
        <w:tc>
          <w:tcPr>
            <w:tcW w:w="6516" w:type="dxa"/>
          </w:tcPr>
          <w:p w14:paraId="4198C2F2" w14:textId="2BDAA0A2" w:rsidR="000762AC" w:rsidRPr="00B95D97" w:rsidRDefault="000762AC" w:rsidP="005E5068">
            <w:pPr>
              <w:jc w:val="both"/>
              <w:rPr>
                <w:rFonts w:eastAsia="Times New Roman" w:cstheme="minorHAnsi"/>
                <w:color w:val="000000"/>
                <w:sz w:val="20"/>
                <w:szCs w:val="20"/>
                <w:lang w:eastAsia="it-IT"/>
              </w:rPr>
            </w:pPr>
            <w:r>
              <w:rPr>
                <w:rFonts w:eastAsia="Times New Roman" w:cstheme="minorHAnsi"/>
                <w:color w:val="000000"/>
                <w:sz w:val="20"/>
                <w:szCs w:val="20"/>
                <w:lang w:eastAsia="it-IT"/>
              </w:rPr>
              <w:t xml:space="preserve">G. </w:t>
            </w:r>
            <w:r w:rsidRPr="00B95D97">
              <w:rPr>
                <w:rFonts w:eastAsia="Times New Roman" w:cstheme="minorHAnsi"/>
                <w:color w:val="000000"/>
                <w:sz w:val="20"/>
                <w:szCs w:val="20"/>
                <w:lang w:eastAsia="it-IT"/>
              </w:rPr>
              <w:t>Commercio all'ingrosso e al dettaglio; riparazione di autoveicoli e motocicli</w:t>
            </w:r>
          </w:p>
        </w:tc>
        <w:tc>
          <w:tcPr>
            <w:tcW w:w="1134" w:type="dxa"/>
            <w:noWrap/>
            <w:hideMark/>
          </w:tcPr>
          <w:p w14:paraId="1C7BA4F1"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36</w:t>
            </w:r>
          </w:p>
        </w:tc>
        <w:tc>
          <w:tcPr>
            <w:tcW w:w="1701" w:type="dxa"/>
            <w:noWrap/>
            <w:hideMark/>
          </w:tcPr>
          <w:p w14:paraId="4E738206" w14:textId="5DACD10D"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801.102,15</w:t>
            </w:r>
            <w:r>
              <w:rPr>
                <w:rFonts w:eastAsia="Times New Roman" w:cstheme="minorHAnsi"/>
                <w:color w:val="000000"/>
                <w:sz w:val="20"/>
                <w:szCs w:val="20"/>
                <w:lang w:eastAsia="it-IT"/>
              </w:rPr>
              <w:t xml:space="preserve"> €</w:t>
            </w:r>
          </w:p>
        </w:tc>
      </w:tr>
      <w:tr w:rsidR="000762AC" w:rsidRPr="00B95D97" w14:paraId="382F11C8" w14:textId="77777777" w:rsidTr="000762AC">
        <w:trPr>
          <w:trHeight w:val="63"/>
        </w:trPr>
        <w:tc>
          <w:tcPr>
            <w:tcW w:w="6516" w:type="dxa"/>
          </w:tcPr>
          <w:p w14:paraId="1A7DEB36" w14:textId="27C3E587" w:rsidR="000762AC" w:rsidRPr="00B95D97" w:rsidRDefault="000762AC" w:rsidP="005E5068">
            <w:pPr>
              <w:jc w:val="both"/>
              <w:rPr>
                <w:rFonts w:eastAsia="Times New Roman" w:cstheme="minorHAnsi"/>
                <w:color w:val="000000"/>
                <w:sz w:val="20"/>
                <w:szCs w:val="20"/>
                <w:lang w:eastAsia="it-IT"/>
              </w:rPr>
            </w:pPr>
            <w:r>
              <w:rPr>
                <w:rFonts w:eastAsia="Times New Roman" w:cstheme="minorHAnsi"/>
                <w:color w:val="000000"/>
                <w:sz w:val="20"/>
                <w:szCs w:val="20"/>
                <w:lang w:eastAsia="it-IT"/>
              </w:rPr>
              <w:t xml:space="preserve">H. </w:t>
            </w:r>
            <w:r w:rsidRPr="00B95D97">
              <w:rPr>
                <w:rFonts w:eastAsia="Times New Roman" w:cstheme="minorHAnsi"/>
                <w:color w:val="000000"/>
                <w:sz w:val="20"/>
                <w:szCs w:val="20"/>
                <w:lang w:eastAsia="it-IT"/>
              </w:rPr>
              <w:t>Trasporto e magazzinaggio</w:t>
            </w:r>
          </w:p>
        </w:tc>
        <w:tc>
          <w:tcPr>
            <w:tcW w:w="1134" w:type="dxa"/>
            <w:noWrap/>
            <w:hideMark/>
          </w:tcPr>
          <w:p w14:paraId="6BB52E36"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4</w:t>
            </w:r>
          </w:p>
        </w:tc>
        <w:tc>
          <w:tcPr>
            <w:tcW w:w="1701" w:type="dxa"/>
            <w:noWrap/>
            <w:hideMark/>
          </w:tcPr>
          <w:p w14:paraId="20BAC548" w14:textId="3396BD2F"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100.000,00</w:t>
            </w:r>
            <w:r>
              <w:rPr>
                <w:rFonts w:eastAsia="Times New Roman" w:cstheme="minorHAnsi"/>
                <w:color w:val="000000"/>
                <w:sz w:val="20"/>
                <w:szCs w:val="20"/>
                <w:lang w:eastAsia="it-IT"/>
              </w:rPr>
              <w:t xml:space="preserve"> €</w:t>
            </w:r>
          </w:p>
        </w:tc>
      </w:tr>
      <w:tr w:rsidR="000762AC" w:rsidRPr="00B95D97" w14:paraId="66463F43" w14:textId="77777777" w:rsidTr="000762AC">
        <w:trPr>
          <w:trHeight w:val="63"/>
        </w:trPr>
        <w:tc>
          <w:tcPr>
            <w:tcW w:w="6516" w:type="dxa"/>
          </w:tcPr>
          <w:p w14:paraId="5D00037A" w14:textId="0AF1CB26" w:rsidR="000762AC" w:rsidRPr="00B95D97" w:rsidRDefault="000762AC" w:rsidP="005E5068">
            <w:pPr>
              <w:jc w:val="both"/>
              <w:rPr>
                <w:rFonts w:eastAsia="Times New Roman" w:cstheme="minorHAnsi"/>
                <w:color w:val="000000"/>
                <w:sz w:val="20"/>
                <w:szCs w:val="20"/>
                <w:lang w:eastAsia="it-IT"/>
              </w:rPr>
            </w:pPr>
            <w:r>
              <w:rPr>
                <w:rFonts w:eastAsia="Times New Roman" w:cstheme="minorHAnsi"/>
                <w:color w:val="000000"/>
                <w:sz w:val="20"/>
                <w:szCs w:val="20"/>
                <w:lang w:eastAsia="it-IT"/>
              </w:rPr>
              <w:t xml:space="preserve">I. </w:t>
            </w:r>
            <w:r w:rsidRPr="00B95D97">
              <w:rPr>
                <w:rFonts w:eastAsia="Times New Roman" w:cstheme="minorHAnsi"/>
                <w:color w:val="000000"/>
                <w:sz w:val="20"/>
                <w:szCs w:val="20"/>
                <w:lang w:eastAsia="it-IT"/>
              </w:rPr>
              <w:t>Attività dei servizi di alloggio e di ristorazione</w:t>
            </w:r>
          </w:p>
        </w:tc>
        <w:tc>
          <w:tcPr>
            <w:tcW w:w="1134" w:type="dxa"/>
            <w:noWrap/>
            <w:hideMark/>
          </w:tcPr>
          <w:p w14:paraId="64923D48"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15</w:t>
            </w:r>
          </w:p>
        </w:tc>
        <w:tc>
          <w:tcPr>
            <w:tcW w:w="1701" w:type="dxa"/>
            <w:noWrap/>
            <w:hideMark/>
          </w:tcPr>
          <w:p w14:paraId="5945CFEB" w14:textId="321407F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345.000,00</w:t>
            </w:r>
            <w:r>
              <w:rPr>
                <w:rFonts w:eastAsia="Times New Roman" w:cstheme="minorHAnsi"/>
                <w:color w:val="000000"/>
                <w:sz w:val="20"/>
                <w:szCs w:val="20"/>
                <w:lang w:eastAsia="it-IT"/>
              </w:rPr>
              <w:t xml:space="preserve"> €</w:t>
            </w:r>
          </w:p>
        </w:tc>
      </w:tr>
      <w:tr w:rsidR="000762AC" w:rsidRPr="00B95D97" w14:paraId="0ED7832D" w14:textId="77777777" w:rsidTr="000762AC">
        <w:trPr>
          <w:trHeight w:val="63"/>
        </w:trPr>
        <w:tc>
          <w:tcPr>
            <w:tcW w:w="6516" w:type="dxa"/>
          </w:tcPr>
          <w:p w14:paraId="077EAC7E" w14:textId="1A103D1A" w:rsidR="000762AC" w:rsidRPr="00B95D97" w:rsidRDefault="000762AC" w:rsidP="005E5068">
            <w:pPr>
              <w:jc w:val="both"/>
              <w:rPr>
                <w:rFonts w:eastAsia="Times New Roman" w:cstheme="minorHAnsi"/>
                <w:color w:val="000000"/>
                <w:sz w:val="20"/>
                <w:szCs w:val="20"/>
                <w:lang w:eastAsia="it-IT"/>
              </w:rPr>
            </w:pPr>
            <w:r>
              <w:rPr>
                <w:rFonts w:eastAsia="Times New Roman" w:cstheme="minorHAnsi"/>
                <w:color w:val="000000"/>
                <w:sz w:val="20"/>
                <w:szCs w:val="20"/>
                <w:lang w:eastAsia="it-IT"/>
              </w:rPr>
              <w:t xml:space="preserve">J. </w:t>
            </w:r>
            <w:r w:rsidRPr="00B95D97">
              <w:rPr>
                <w:rFonts w:eastAsia="Times New Roman" w:cstheme="minorHAnsi"/>
                <w:color w:val="000000"/>
                <w:sz w:val="20"/>
                <w:szCs w:val="20"/>
                <w:lang w:eastAsia="it-IT"/>
              </w:rPr>
              <w:t>Servizi di informazione e comunicazione</w:t>
            </w:r>
          </w:p>
        </w:tc>
        <w:tc>
          <w:tcPr>
            <w:tcW w:w="1134" w:type="dxa"/>
            <w:noWrap/>
            <w:hideMark/>
          </w:tcPr>
          <w:p w14:paraId="21AC1346"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26</w:t>
            </w:r>
          </w:p>
        </w:tc>
        <w:tc>
          <w:tcPr>
            <w:tcW w:w="1701" w:type="dxa"/>
            <w:noWrap/>
            <w:hideMark/>
          </w:tcPr>
          <w:p w14:paraId="616C326E" w14:textId="4E7CEA13"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575.453,17</w:t>
            </w:r>
          </w:p>
        </w:tc>
      </w:tr>
      <w:tr w:rsidR="000762AC" w:rsidRPr="00B95D97" w14:paraId="5D94685D" w14:textId="77777777" w:rsidTr="000762AC">
        <w:trPr>
          <w:trHeight w:val="63"/>
        </w:trPr>
        <w:tc>
          <w:tcPr>
            <w:tcW w:w="6516" w:type="dxa"/>
          </w:tcPr>
          <w:p w14:paraId="53B5DAE9" w14:textId="7F68A845" w:rsidR="000762AC" w:rsidRPr="00B95D97" w:rsidRDefault="000762AC" w:rsidP="005E5068">
            <w:pPr>
              <w:jc w:val="both"/>
              <w:rPr>
                <w:rFonts w:eastAsia="Times New Roman" w:cstheme="minorHAnsi"/>
                <w:color w:val="000000"/>
                <w:sz w:val="20"/>
                <w:szCs w:val="20"/>
                <w:lang w:eastAsia="it-IT"/>
              </w:rPr>
            </w:pPr>
            <w:r w:rsidRPr="00B95D97">
              <w:rPr>
                <w:rFonts w:eastAsia="Times New Roman" w:cstheme="minorHAnsi"/>
                <w:color w:val="000000"/>
                <w:sz w:val="20"/>
                <w:szCs w:val="20"/>
                <w:lang w:eastAsia="it-IT"/>
              </w:rPr>
              <w:t>K</w:t>
            </w:r>
            <w:r>
              <w:rPr>
                <w:rFonts w:eastAsia="Times New Roman" w:cstheme="minorHAnsi"/>
                <w:color w:val="000000"/>
                <w:sz w:val="20"/>
                <w:szCs w:val="20"/>
                <w:lang w:eastAsia="it-IT"/>
              </w:rPr>
              <w:t>. A</w:t>
            </w:r>
            <w:r w:rsidRPr="00B95D97">
              <w:rPr>
                <w:rFonts w:eastAsia="Times New Roman" w:cstheme="minorHAnsi"/>
                <w:color w:val="000000"/>
                <w:sz w:val="20"/>
                <w:szCs w:val="20"/>
                <w:lang w:eastAsia="it-IT"/>
              </w:rPr>
              <w:t>ttività finanziarie e assicurative</w:t>
            </w:r>
          </w:p>
        </w:tc>
        <w:tc>
          <w:tcPr>
            <w:tcW w:w="1134" w:type="dxa"/>
            <w:noWrap/>
            <w:hideMark/>
          </w:tcPr>
          <w:p w14:paraId="029BFBE2"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4</w:t>
            </w:r>
          </w:p>
        </w:tc>
        <w:tc>
          <w:tcPr>
            <w:tcW w:w="1701" w:type="dxa"/>
            <w:noWrap/>
            <w:hideMark/>
          </w:tcPr>
          <w:p w14:paraId="351ABB69" w14:textId="380F0DE9"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100.000,00</w:t>
            </w:r>
            <w:r>
              <w:rPr>
                <w:rFonts w:eastAsia="Times New Roman" w:cstheme="minorHAnsi"/>
                <w:color w:val="000000"/>
                <w:sz w:val="20"/>
                <w:szCs w:val="20"/>
                <w:lang w:eastAsia="it-IT"/>
              </w:rPr>
              <w:t xml:space="preserve"> €</w:t>
            </w:r>
          </w:p>
        </w:tc>
      </w:tr>
      <w:tr w:rsidR="000762AC" w:rsidRPr="00B95D97" w14:paraId="5B169252" w14:textId="77777777" w:rsidTr="000762AC">
        <w:trPr>
          <w:trHeight w:val="63"/>
        </w:trPr>
        <w:tc>
          <w:tcPr>
            <w:tcW w:w="6516" w:type="dxa"/>
          </w:tcPr>
          <w:p w14:paraId="100378CD" w14:textId="23B18D5D" w:rsidR="000762AC" w:rsidRPr="00B95D97" w:rsidRDefault="000762AC" w:rsidP="005E5068">
            <w:pPr>
              <w:jc w:val="both"/>
              <w:rPr>
                <w:rFonts w:eastAsia="Times New Roman" w:cstheme="minorHAnsi"/>
                <w:color w:val="000000"/>
                <w:sz w:val="20"/>
                <w:szCs w:val="20"/>
                <w:lang w:eastAsia="it-IT"/>
              </w:rPr>
            </w:pPr>
            <w:r w:rsidRPr="00B95D97">
              <w:rPr>
                <w:rFonts w:eastAsia="Times New Roman" w:cstheme="minorHAnsi"/>
                <w:color w:val="000000"/>
                <w:sz w:val="20"/>
                <w:szCs w:val="20"/>
                <w:lang w:eastAsia="it-IT"/>
              </w:rPr>
              <w:t>L</w:t>
            </w:r>
            <w:r>
              <w:rPr>
                <w:rFonts w:eastAsia="Times New Roman" w:cstheme="minorHAnsi"/>
                <w:color w:val="000000"/>
                <w:sz w:val="20"/>
                <w:szCs w:val="20"/>
                <w:lang w:eastAsia="it-IT"/>
              </w:rPr>
              <w:t>.</w:t>
            </w:r>
            <w:r w:rsidRPr="00B95D97">
              <w:rPr>
                <w:rFonts w:eastAsia="Times New Roman" w:cstheme="minorHAnsi"/>
                <w:color w:val="000000"/>
                <w:sz w:val="20"/>
                <w:szCs w:val="20"/>
                <w:lang w:eastAsia="it-IT"/>
              </w:rPr>
              <w:t xml:space="preserve"> Attività immobiliari</w:t>
            </w:r>
          </w:p>
        </w:tc>
        <w:tc>
          <w:tcPr>
            <w:tcW w:w="1134" w:type="dxa"/>
            <w:noWrap/>
            <w:hideMark/>
          </w:tcPr>
          <w:p w14:paraId="703E037F"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36</w:t>
            </w:r>
          </w:p>
        </w:tc>
        <w:tc>
          <w:tcPr>
            <w:tcW w:w="1701" w:type="dxa"/>
            <w:noWrap/>
            <w:hideMark/>
          </w:tcPr>
          <w:p w14:paraId="161913BA" w14:textId="62445A86"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877.500,00</w:t>
            </w:r>
            <w:r>
              <w:rPr>
                <w:rFonts w:eastAsia="Times New Roman" w:cstheme="minorHAnsi"/>
                <w:color w:val="000000"/>
                <w:sz w:val="20"/>
                <w:szCs w:val="20"/>
                <w:lang w:eastAsia="it-IT"/>
              </w:rPr>
              <w:t xml:space="preserve"> €</w:t>
            </w:r>
          </w:p>
        </w:tc>
      </w:tr>
      <w:tr w:rsidR="000762AC" w:rsidRPr="00B95D97" w14:paraId="54606FCD" w14:textId="77777777" w:rsidTr="000762AC">
        <w:trPr>
          <w:trHeight w:val="63"/>
        </w:trPr>
        <w:tc>
          <w:tcPr>
            <w:tcW w:w="6516" w:type="dxa"/>
          </w:tcPr>
          <w:p w14:paraId="4EA740DF" w14:textId="22A39856" w:rsidR="000762AC" w:rsidRPr="00B95D97" w:rsidRDefault="000762AC" w:rsidP="005E5068">
            <w:pPr>
              <w:jc w:val="both"/>
              <w:rPr>
                <w:rFonts w:eastAsia="Times New Roman" w:cstheme="minorHAnsi"/>
                <w:color w:val="000000"/>
                <w:sz w:val="20"/>
                <w:szCs w:val="20"/>
                <w:lang w:eastAsia="it-IT"/>
              </w:rPr>
            </w:pPr>
            <w:r w:rsidRPr="00B95D97">
              <w:rPr>
                <w:rFonts w:eastAsia="Times New Roman" w:cstheme="minorHAnsi"/>
                <w:color w:val="000000"/>
                <w:sz w:val="20"/>
                <w:szCs w:val="20"/>
                <w:lang w:eastAsia="it-IT"/>
              </w:rPr>
              <w:t>M</w:t>
            </w:r>
            <w:r>
              <w:rPr>
                <w:rFonts w:eastAsia="Times New Roman" w:cstheme="minorHAnsi"/>
                <w:color w:val="000000"/>
                <w:sz w:val="20"/>
                <w:szCs w:val="20"/>
                <w:lang w:eastAsia="it-IT"/>
              </w:rPr>
              <w:t>.</w:t>
            </w:r>
            <w:r w:rsidRPr="00B95D97">
              <w:rPr>
                <w:rFonts w:eastAsia="Times New Roman" w:cstheme="minorHAnsi"/>
                <w:color w:val="000000"/>
                <w:sz w:val="20"/>
                <w:szCs w:val="20"/>
                <w:lang w:eastAsia="it-IT"/>
              </w:rPr>
              <w:t xml:space="preserve"> Attività professionali, scientifiche e tecniche</w:t>
            </w:r>
          </w:p>
        </w:tc>
        <w:tc>
          <w:tcPr>
            <w:tcW w:w="1134" w:type="dxa"/>
            <w:noWrap/>
            <w:hideMark/>
          </w:tcPr>
          <w:p w14:paraId="01707F89"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33</w:t>
            </w:r>
          </w:p>
        </w:tc>
        <w:tc>
          <w:tcPr>
            <w:tcW w:w="1701" w:type="dxa"/>
            <w:noWrap/>
            <w:hideMark/>
          </w:tcPr>
          <w:p w14:paraId="53D95A0C" w14:textId="20A9DBE9"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730.450,00</w:t>
            </w:r>
            <w:r>
              <w:rPr>
                <w:rFonts w:eastAsia="Times New Roman" w:cstheme="minorHAnsi"/>
                <w:color w:val="000000"/>
                <w:sz w:val="20"/>
                <w:szCs w:val="20"/>
                <w:lang w:eastAsia="it-IT"/>
              </w:rPr>
              <w:t xml:space="preserve"> €</w:t>
            </w:r>
          </w:p>
        </w:tc>
      </w:tr>
      <w:tr w:rsidR="000762AC" w:rsidRPr="00B95D97" w14:paraId="2CF21B35" w14:textId="77777777" w:rsidTr="000762AC">
        <w:trPr>
          <w:trHeight w:val="63"/>
        </w:trPr>
        <w:tc>
          <w:tcPr>
            <w:tcW w:w="6516" w:type="dxa"/>
          </w:tcPr>
          <w:p w14:paraId="36008BB1" w14:textId="14C8B878" w:rsidR="000762AC" w:rsidRPr="00B95D97" w:rsidRDefault="000762AC" w:rsidP="005E5068">
            <w:pPr>
              <w:jc w:val="both"/>
              <w:rPr>
                <w:rFonts w:eastAsia="Times New Roman" w:cstheme="minorHAnsi"/>
                <w:color w:val="000000"/>
                <w:sz w:val="20"/>
                <w:szCs w:val="20"/>
                <w:lang w:eastAsia="it-IT"/>
              </w:rPr>
            </w:pPr>
            <w:r w:rsidRPr="00B95D97">
              <w:rPr>
                <w:rFonts w:eastAsia="Times New Roman" w:cstheme="minorHAnsi"/>
                <w:color w:val="000000"/>
                <w:sz w:val="20"/>
                <w:szCs w:val="20"/>
                <w:lang w:eastAsia="it-IT"/>
              </w:rPr>
              <w:t>N</w:t>
            </w:r>
            <w:r>
              <w:rPr>
                <w:rFonts w:eastAsia="Times New Roman" w:cstheme="minorHAnsi"/>
                <w:color w:val="000000"/>
                <w:sz w:val="20"/>
                <w:szCs w:val="20"/>
                <w:lang w:eastAsia="it-IT"/>
              </w:rPr>
              <w:t>.</w:t>
            </w:r>
            <w:r w:rsidRPr="00B95D97">
              <w:rPr>
                <w:rFonts w:eastAsia="Times New Roman" w:cstheme="minorHAnsi"/>
                <w:color w:val="000000"/>
                <w:sz w:val="20"/>
                <w:szCs w:val="20"/>
                <w:lang w:eastAsia="it-IT"/>
              </w:rPr>
              <w:t xml:space="preserve"> Attività amministrative e di servizi di supporto</w:t>
            </w:r>
          </w:p>
        </w:tc>
        <w:tc>
          <w:tcPr>
            <w:tcW w:w="1134" w:type="dxa"/>
            <w:noWrap/>
            <w:hideMark/>
          </w:tcPr>
          <w:p w14:paraId="4DFBC5BD"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16</w:t>
            </w:r>
          </w:p>
        </w:tc>
        <w:tc>
          <w:tcPr>
            <w:tcW w:w="1701" w:type="dxa"/>
            <w:noWrap/>
            <w:hideMark/>
          </w:tcPr>
          <w:p w14:paraId="4EDDC597" w14:textId="7DFA8EA3"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357.950,00</w:t>
            </w:r>
            <w:r>
              <w:rPr>
                <w:rFonts w:eastAsia="Times New Roman" w:cstheme="minorHAnsi"/>
                <w:color w:val="000000"/>
                <w:sz w:val="20"/>
                <w:szCs w:val="20"/>
                <w:lang w:eastAsia="it-IT"/>
              </w:rPr>
              <w:t xml:space="preserve"> €</w:t>
            </w:r>
          </w:p>
        </w:tc>
      </w:tr>
      <w:tr w:rsidR="000762AC" w:rsidRPr="00B95D97" w14:paraId="69B39A93" w14:textId="77777777" w:rsidTr="000762AC">
        <w:trPr>
          <w:trHeight w:val="63"/>
        </w:trPr>
        <w:tc>
          <w:tcPr>
            <w:tcW w:w="6516" w:type="dxa"/>
          </w:tcPr>
          <w:p w14:paraId="313FC500" w14:textId="1AAF957A" w:rsidR="000762AC" w:rsidRPr="00B95D97" w:rsidRDefault="000762AC" w:rsidP="005E5068">
            <w:pPr>
              <w:jc w:val="both"/>
              <w:rPr>
                <w:rFonts w:eastAsia="Times New Roman" w:cstheme="minorHAnsi"/>
                <w:color w:val="000000"/>
                <w:sz w:val="20"/>
                <w:szCs w:val="20"/>
                <w:lang w:eastAsia="it-IT"/>
              </w:rPr>
            </w:pPr>
            <w:r w:rsidRPr="00B95D97">
              <w:rPr>
                <w:rFonts w:eastAsia="Times New Roman" w:cstheme="minorHAnsi"/>
                <w:color w:val="000000"/>
                <w:sz w:val="20"/>
                <w:szCs w:val="20"/>
                <w:lang w:eastAsia="it-IT"/>
              </w:rPr>
              <w:t>P</w:t>
            </w:r>
            <w:r>
              <w:rPr>
                <w:rFonts w:eastAsia="Times New Roman" w:cstheme="minorHAnsi"/>
                <w:color w:val="000000"/>
                <w:sz w:val="20"/>
                <w:szCs w:val="20"/>
                <w:lang w:eastAsia="it-IT"/>
              </w:rPr>
              <w:t>.</w:t>
            </w:r>
            <w:r w:rsidRPr="00B95D97">
              <w:rPr>
                <w:rFonts w:cstheme="minorHAnsi"/>
                <w:sz w:val="20"/>
                <w:szCs w:val="20"/>
              </w:rPr>
              <w:t xml:space="preserve"> Istruzione</w:t>
            </w:r>
          </w:p>
        </w:tc>
        <w:tc>
          <w:tcPr>
            <w:tcW w:w="1134" w:type="dxa"/>
            <w:noWrap/>
            <w:hideMark/>
          </w:tcPr>
          <w:p w14:paraId="7675600C"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3</w:t>
            </w:r>
          </w:p>
        </w:tc>
        <w:tc>
          <w:tcPr>
            <w:tcW w:w="1701" w:type="dxa"/>
            <w:noWrap/>
            <w:hideMark/>
          </w:tcPr>
          <w:p w14:paraId="0FF29E67" w14:textId="5BF4774F"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75.000,00</w:t>
            </w:r>
            <w:r>
              <w:rPr>
                <w:rFonts w:eastAsia="Times New Roman" w:cstheme="minorHAnsi"/>
                <w:color w:val="000000"/>
                <w:sz w:val="20"/>
                <w:szCs w:val="20"/>
                <w:lang w:eastAsia="it-IT"/>
              </w:rPr>
              <w:t xml:space="preserve"> €</w:t>
            </w:r>
          </w:p>
        </w:tc>
      </w:tr>
      <w:tr w:rsidR="000762AC" w:rsidRPr="00B95D97" w14:paraId="00058AEF" w14:textId="77777777" w:rsidTr="000762AC">
        <w:trPr>
          <w:trHeight w:val="63"/>
        </w:trPr>
        <w:tc>
          <w:tcPr>
            <w:tcW w:w="6516" w:type="dxa"/>
          </w:tcPr>
          <w:p w14:paraId="24A0B7E0" w14:textId="054B95FA" w:rsidR="000762AC" w:rsidRPr="00B95D97" w:rsidRDefault="000762AC" w:rsidP="005E5068">
            <w:pPr>
              <w:jc w:val="both"/>
              <w:rPr>
                <w:rFonts w:eastAsia="Times New Roman" w:cstheme="minorHAnsi"/>
                <w:color w:val="000000"/>
                <w:sz w:val="20"/>
                <w:szCs w:val="20"/>
                <w:lang w:eastAsia="it-IT"/>
              </w:rPr>
            </w:pPr>
            <w:r w:rsidRPr="00B95D97">
              <w:rPr>
                <w:rFonts w:eastAsia="Times New Roman" w:cstheme="minorHAnsi"/>
                <w:color w:val="000000"/>
                <w:sz w:val="20"/>
                <w:szCs w:val="20"/>
                <w:lang w:eastAsia="it-IT"/>
              </w:rPr>
              <w:t>Q</w:t>
            </w:r>
            <w:r>
              <w:rPr>
                <w:rFonts w:eastAsia="Times New Roman" w:cstheme="minorHAnsi"/>
                <w:color w:val="000000"/>
                <w:sz w:val="20"/>
                <w:szCs w:val="20"/>
                <w:lang w:eastAsia="it-IT"/>
              </w:rPr>
              <w:t>.</w:t>
            </w:r>
            <w:r w:rsidRPr="00B95D97">
              <w:rPr>
                <w:rFonts w:eastAsia="Times New Roman" w:cstheme="minorHAnsi"/>
                <w:color w:val="000000"/>
                <w:sz w:val="20"/>
                <w:szCs w:val="20"/>
                <w:lang w:eastAsia="it-IT"/>
              </w:rPr>
              <w:t xml:space="preserve"> Attività dei servizi sanitari e di assistenza sociale</w:t>
            </w:r>
          </w:p>
        </w:tc>
        <w:tc>
          <w:tcPr>
            <w:tcW w:w="1134" w:type="dxa"/>
            <w:noWrap/>
            <w:hideMark/>
          </w:tcPr>
          <w:p w14:paraId="44BABFED"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1</w:t>
            </w:r>
          </w:p>
        </w:tc>
        <w:tc>
          <w:tcPr>
            <w:tcW w:w="1701" w:type="dxa"/>
            <w:noWrap/>
            <w:hideMark/>
          </w:tcPr>
          <w:p w14:paraId="4B61BFBD" w14:textId="146D85A9"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10.500,00</w:t>
            </w:r>
            <w:r>
              <w:rPr>
                <w:rFonts w:eastAsia="Times New Roman" w:cstheme="minorHAnsi"/>
                <w:color w:val="000000"/>
                <w:sz w:val="20"/>
                <w:szCs w:val="20"/>
                <w:lang w:eastAsia="it-IT"/>
              </w:rPr>
              <w:t xml:space="preserve"> €</w:t>
            </w:r>
          </w:p>
        </w:tc>
      </w:tr>
      <w:tr w:rsidR="000762AC" w:rsidRPr="00B95D97" w14:paraId="5FAECCE0" w14:textId="77777777" w:rsidTr="000762AC">
        <w:trPr>
          <w:trHeight w:val="63"/>
        </w:trPr>
        <w:tc>
          <w:tcPr>
            <w:tcW w:w="6516" w:type="dxa"/>
          </w:tcPr>
          <w:p w14:paraId="3EDC7D0C" w14:textId="34123514" w:rsidR="000762AC" w:rsidRPr="00B95D97" w:rsidRDefault="000762AC" w:rsidP="005E5068">
            <w:pPr>
              <w:jc w:val="both"/>
              <w:rPr>
                <w:rFonts w:eastAsia="Times New Roman" w:cstheme="minorHAnsi"/>
                <w:color w:val="000000"/>
                <w:sz w:val="20"/>
                <w:szCs w:val="20"/>
                <w:lang w:eastAsia="it-IT"/>
              </w:rPr>
            </w:pPr>
            <w:r w:rsidRPr="00B95D97">
              <w:rPr>
                <w:rFonts w:eastAsia="Times New Roman" w:cstheme="minorHAnsi"/>
                <w:color w:val="000000"/>
                <w:sz w:val="20"/>
                <w:szCs w:val="20"/>
                <w:lang w:eastAsia="it-IT"/>
              </w:rPr>
              <w:t>R</w:t>
            </w:r>
            <w:r>
              <w:rPr>
                <w:rFonts w:eastAsia="Times New Roman" w:cstheme="minorHAnsi"/>
                <w:color w:val="000000"/>
                <w:sz w:val="20"/>
                <w:szCs w:val="20"/>
                <w:lang w:eastAsia="it-IT"/>
              </w:rPr>
              <w:t>.</w:t>
            </w:r>
            <w:r w:rsidRPr="00B95D97">
              <w:rPr>
                <w:rFonts w:eastAsia="Times New Roman" w:cstheme="minorHAnsi"/>
                <w:color w:val="000000"/>
                <w:sz w:val="20"/>
                <w:szCs w:val="20"/>
                <w:lang w:eastAsia="it-IT"/>
              </w:rPr>
              <w:t xml:space="preserve"> Arte, spettacoli e tempo libero</w:t>
            </w:r>
          </w:p>
        </w:tc>
        <w:tc>
          <w:tcPr>
            <w:tcW w:w="1134" w:type="dxa"/>
            <w:noWrap/>
            <w:hideMark/>
          </w:tcPr>
          <w:p w14:paraId="2BB5FAAB"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4</w:t>
            </w:r>
          </w:p>
        </w:tc>
        <w:tc>
          <w:tcPr>
            <w:tcW w:w="1701" w:type="dxa"/>
            <w:noWrap/>
            <w:hideMark/>
          </w:tcPr>
          <w:p w14:paraId="7F5E4CA2" w14:textId="40FC0A8D"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55.587,50</w:t>
            </w:r>
            <w:r>
              <w:rPr>
                <w:rFonts w:eastAsia="Times New Roman" w:cstheme="minorHAnsi"/>
                <w:color w:val="000000"/>
                <w:sz w:val="20"/>
                <w:szCs w:val="20"/>
                <w:lang w:eastAsia="it-IT"/>
              </w:rPr>
              <w:t xml:space="preserve"> €</w:t>
            </w:r>
          </w:p>
        </w:tc>
      </w:tr>
      <w:tr w:rsidR="000762AC" w:rsidRPr="00B95D97" w14:paraId="12E9EC08" w14:textId="77777777" w:rsidTr="000762AC">
        <w:trPr>
          <w:trHeight w:val="63"/>
        </w:trPr>
        <w:tc>
          <w:tcPr>
            <w:tcW w:w="6516" w:type="dxa"/>
          </w:tcPr>
          <w:p w14:paraId="3FD0991A" w14:textId="1C9F11E2" w:rsidR="000762AC" w:rsidRPr="00B95D97" w:rsidRDefault="000762AC" w:rsidP="005E5068">
            <w:pPr>
              <w:jc w:val="both"/>
              <w:rPr>
                <w:rFonts w:eastAsia="Times New Roman" w:cstheme="minorHAnsi"/>
                <w:color w:val="000000"/>
                <w:sz w:val="20"/>
                <w:szCs w:val="20"/>
                <w:lang w:eastAsia="it-IT"/>
              </w:rPr>
            </w:pPr>
            <w:r w:rsidRPr="00B95D97">
              <w:rPr>
                <w:rFonts w:eastAsia="Times New Roman" w:cstheme="minorHAnsi"/>
                <w:color w:val="000000"/>
                <w:sz w:val="20"/>
                <w:szCs w:val="20"/>
                <w:lang w:eastAsia="it-IT"/>
              </w:rPr>
              <w:t>S</w:t>
            </w:r>
            <w:r>
              <w:rPr>
                <w:rFonts w:eastAsia="Times New Roman" w:cstheme="minorHAnsi"/>
                <w:color w:val="000000"/>
                <w:sz w:val="20"/>
                <w:szCs w:val="20"/>
                <w:lang w:eastAsia="it-IT"/>
              </w:rPr>
              <w:t>.</w:t>
            </w:r>
            <w:r w:rsidRPr="00B95D97">
              <w:rPr>
                <w:rFonts w:eastAsia="Times New Roman" w:cstheme="minorHAnsi"/>
                <w:color w:val="000000"/>
                <w:sz w:val="20"/>
                <w:szCs w:val="20"/>
                <w:lang w:eastAsia="it-IT"/>
              </w:rPr>
              <w:t xml:space="preserve"> Altre attività di servizi</w:t>
            </w:r>
          </w:p>
        </w:tc>
        <w:tc>
          <w:tcPr>
            <w:tcW w:w="1134" w:type="dxa"/>
            <w:noWrap/>
            <w:hideMark/>
          </w:tcPr>
          <w:p w14:paraId="408E48BF" w14:textId="77777777"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2</w:t>
            </w:r>
          </w:p>
        </w:tc>
        <w:tc>
          <w:tcPr>
            <w:tcW w:w="1701" w:type="dxa"/>
            <w:noWrap/>
            <w:hideMark/>
          </w:tcPr>
          <w:p w14:paraId="2D899A1C" w14:textId="0E0C81B9" w:rsidR="000762AC" w:rsidRPr="00B95D97" w:rsidRDefault="000762AC" w:rsidP="000762AC">
            <w:pPr>
              <w:jc w:val="center"/>
              <w:rPr>
                <w:rFonts w:eastAsia="Times New Roman" w:cstheme="minorHAnsi"/>
                <w:color w:val="000000"/>
                <w:sz w:val="20"/>
                <w:szCs w:val="20"/>
                <w:lang w:eastAsia="it-IT"/>
              </w:rPr>
            </w:pPr>
            <w:r w:rsidRPr="00B95D97">
              <w:rPr>
                <w:rFonts w:eastAsia="Times New Roman" w:cstheme="minorHAnsi"/>
                <w:color w:val="000000"/>
                <w:sz w:val="20"/>
                <w:szCs w:val="20"/>
                <w:lang w:eastAsia="it-IT"/>
              </w:rPr>
              <w:t>35.000,00</w:t>
            </w:r>
            <w:r>
              <w:rPr>
                <w:rFonts w:eastAsia="Times New Roman" w:cstheme="minorHAnsi"/>
                <w:color w:val="000000"/>
                <w:sz w:val="20"/>
                <w:szCs w:val="20"/>
                <w:lang w:eastAsia="it-IT"/>
              </w:rPr>
              <w:t xml:space="preserve"> €</w:t>
            </w:r>
          </w:p>
        </w:tc>
      </w:tr>
      <w:tr w:rsidR="000762AC" w:rsidRPr="00B95D97" w14:paraId="3FB19850" w14:textId="77777777" w:rsidTr="000762AC">
        <w:trPr>
          <w:trHeight w:val="63"/>
        </w:trPr>
        <w:tc>
          <w:tcPr>
            <w:tcW w:w="6516" w:type="dxa"/>
          </w:tcPr>
          <w:p w14:paraId="214EEE79" w14:textId="7316574B" w:rsidR="000762AC" w:rsidRPr="00B95D97" w:rsidRDefault="000762AC" w:rsidP="000762AC">
            <w:pPr>
              <w:jc w:val="right"/>
              <w:rPr>
                <w:rFonts w:eastAsia="Times New Roman" w:cstheme="minorHAnsi"/>
                <w:b/>
                <w:bCs/>
                <w:color w:val="000000"/>
                <w:sz w:val="20"/>
                <w:szCs w:val="20"/>
                <w:lang w:eastAsia="it-IT"/>
              </w:rPr>
            </w:pPr>
            <w:r w:rsidRPr="00B95D97">
              <w:rPr>
                <w:rFonts w:eastAsia="Times New Roman" w:cstheme="minorHAnsi"/>
                <w:b/>
                <w:bCs/>
                <w:color w:val="000000"/>
                <w:sz w:val="20"/>
                <w:szCs w:val="20"/>
                <w:lang w:eastAsia="it-IT"/>
              </w:rPr>
              <w:t>Totale</w:t>
            </w:r>
          </w:p>
        </w:tc>
        <w:tc>
          <w:tcPr>
            <w:tcW w:w="1134" w:type="dxa"/>
            <w:noWrap/>
            <w:hideMark/>
          </w:tcPr>
          <w:p w14:paraId="6C1F58FE" w14:textId="77777777" w:rsidR="000762AC" w:rsidRPr="00B95D97" w:rsidRDefault="000762AC" w:rsidP="000762AC">
            <w:pPr>
              <w:jc w:val="center"/>
              <w:rPr>
                <w:rFonts w:eastAsia="Times New Roman" w:cstheme="minorHAnsi"/>
                <w:b/>
                <w:bCs/>
                <w:color w:val="000000"/>
                <w:sz w:val="20"/>
                <w:szCs w:val="20"/>
                <w:lang w:eastAsia="it-IT"/>
              </w:rPr>
            </w:pPr>
            <w:r w:rsidRPr="00B95D97">
              <w:rPr>
                <w:rFonts w:eastAsia="Times New Roman" w:cstheme="minorHAnsi"/>
                <w:b/>
                <w:bCs/>
                <w:color w:val="000000"/>
                <w:sz w:val="20"/>
                <w:szCs w:val="20"/>
                <w:lang w:eastAsia="it-IT"/>
              </w:rPr>
              <w:t>263</w:t>
            </w:r>
          </w:p>
        </w:tc>
        <w:tc>
          <w:tcPr>
            <w:tcW w:w="1701" w:type="dxa"/>
            <w:noWrap/>
            <w:hideMark/>
          </w:tcPr>
          <w:p w14:paraId="09A5FB97" w14:textId="7E5948CC" w:rsidR="000762AC" w:rsidRPr="00B95D97" w:rsidRDefault="000762AC" w:rsidP="000762AC">
            <w:pPr>
              <w:jc w:val="center"/>
              <w:rPr>
                <w:rFonts w:eastAsia="Times New Roman" w:cstheme="minorHAnsi"/>
                <w:b/>
                <w:bCs/>
                <w:color w:val="000000"/>
                <w:sz w:val="20"/>
                <w:szCs w:val="20"/>
                <w:lang w:eastAsia="it-IT"/>
              </w:rPr>
            </w:pPr>
            <w:r w:rsidRPr="00B95D97">
              <w:rPr>
                <w:rFonts w:eastAsia="Times New Roman" w:cstheme="minorHAnsi"/>
                <w:b/>
                <w:bCs/>
                <w:color w:val="000000"/>
                <w:sz w:val="20"/>
                <w:szCs w:val="20"/>
                <w:lang w:eastAsia="it-IT"/>
              </w:rPr>
              <w:t>5.985.598,10</w:t>
            </w:r>
            <w:r>
              <w:rPr>
                <w:rFonts w:eastAsia="Times New Roman" w:cstheme="minorHAnsi"/>
                <w:b/>
                <w:bCs/>
                <w:color w:val="000000"/>
                <w:sz w:val="20"/>
                <w:szCs w:val="20"/>
                <w:lang w:eastAsia="it-IT"/>
              </w:rPr>
              <w:t xml:space="preserve"> </w:t>
            </w:r>
            <w:r>
              <w:rPr>
                <w:rFonts w:eastAsia="Times New Roman" w:cstheme="minorHAnsi"/>
                <w:color w:val="000000"/>
                <w:sz w:val="20"/>
                <w:szCs w:val="20"/>
                <w:lang w:eastAsia="it-IT"/>
              </w:rPr>
              <w:t>€</w:t>
            </w:r>
          </w:p>
        </w:tc>
      </w:tr>
    </w:tbl>
    <w:p w14:paraId="52B55A7C" w14:textId="77777777" w:rsidR="00D33902" w:rsidRDefault="00D33902" w:rsidP="00AE2701">
      <w:pPr>
        <w:spacing w:after="120" w:line="240" w:lineRule="auto"/>
        <w:ind w:right="1418"/>
        <w:jc w:val="both"/>
        <w:rPr>
          <w:rFonts w:eastAsia="Aptos" w:cstheme="minorHAnsi"/>
          <w:i/>
          <w:iCs/>
          <w:kern w:val="2"/>
          <w:sz w:val="18"/>
          <w:szCs w:val="18"/>
          <w14:ligatures w14:val="standardContextual"/>
        </w:rPr>
      </w:pPr>
      <w:r w:rsidRPr="00063D2B">
        <w:rPr>
          <w:rFonts w:eastAsia="Aptos" w:cstheme="minorHAnsi"/>
          <w:i/>
          <w:iCs/>
          <w:kern w:val="2"/>
          <w:sz w:val="18"/>
          <w:szCs w:val="18"/>
          <w14:ligatures w14:val="standardContextual"/>
        </w:rPr>
        <w:t xml:space="preserve">Fonte: </w:t>
      </w:r>
      <w:r>
        <w:rPr>
          <w:rFonts w:eastAsia="Aptos" w:cstheme="minorHAnsi"/>
          <w:i/>
          <w:iCs/>
          <w:kern w:val="2"/>
          <w:sz w:val="18"/>
          <w:szCs w:val="18"/>
          <w14:ligatures w14:val="standardContextual"/>
        </w:rPr>
        <w:t>Regione Marche,</w:t>
      </w:r>
      <w:r w:rsidRPr="00063D2B">
        <w:rPr>
          <w:rFonts w:eastAsia="Aptos" w:cstheme="minorHAnsi"/>
          <w:i/>
          <w:iCs/>
          <w:kern w:val="2"/>
          <w:sz w:val="18"/>
          <w:szCs w:val="18"/>
          <w14:ligatures w14:val="standardContextual"/>
        </w:rPr>
        <w:t xml:space="preserve"> </w:t>
      </w:r>
      <w:r>
        <w:rPr>
          <w:rFonts w:eastAsia="Aptos" w:cstheme="minorHAnsi"/>
          <w:i/>
          <w:iCs/>
          <w:kern w:val="2"/>
          <w:sz w:val="18"/>
          <w:szCs w:val="18"/>
          <w14:ligatures w14:val="standardContextual"/>
        </w:rPr>
        <w:t>aprile</w:t>
      </w:r>
      <w:r w:rsidRPr="00063D2B">
        <w:rPr>
          <w:rFonts w:eastAsia="Aptos" w:cstheme="minorHAnsi"/>
          <w:i/>
          <w:iCs/>
          <w:kern w:val="2"/>
          <w:sz w:val="18"/>
          <w:szCs w:val="18"/>
          <w14:ligatures w14:val="standardContextual"/>
        </w:rPr>
        <w:t xml:space="preserve"> 2024</w:t>
      </w:r>
    </w:p>
    <w:p w14:paraId="6AB3826E" w14:textId="77777777" w:rsidR="00134147" w:rsidRPr="00134147" w:rsidRDefault="00134147" w:rsidP="00134147">
      <w:pPr>
        <w:spacing w:after="120" w:line="276" w:lineRule="auto"/>
        <w:jc w:val="both"/>
        <w:rPr>
          <w:rFonts w:eastAsia="Aptos" w:cstheme="minorHAnsi"/>
          <w:kern w:val="2"/>
          <w14:ligatures w14:val="standardContextual"/>
        </w:rPr>
      </w:pPr>
    </w:p>
    <w:p w14:paraId="595512BE" w14:textId="3C07F2BF" w:rsidR="006A5E0F" w:rsidRPr="00D33902" w:rsidRDefault="006A5E0F" w:rsidP="006A5E0F">
      <w:pPr>
        <w:spacing w:after="0" w:line="240" w:lineRule="auto"/>
        <w:ind w:left="1276"/>
        <w:jc w:val="both"/>
        <w:rPr>
          <w:rFonts w:eastAsia="Aptos" w:cstheme="minorHAnsi"/>
          <w:i/>
          <w:iCs/>
          <w:kern w:val="2"/>
          <w:sz w:val="20"/>
          <w:szCs w:val="20"/>
          <w14:ligatures w14:val="standardContextual"/>
        </w:rPr>
      </w:pPr>
      <w:r>
        <w:rPr>
          <w:rFonts w:eastAsia="Aptos" w:cstheme="minorHAnsi"/>
          <w:i/>
          <w:iCs/>
          <w:kern w:val="2"/>
          <w:sz w:val="20"/>
          <w:szCs w:val="20"/>
          <w14:ligatures w14:val="standardContextual"/>
        </w:rPr>
        <w:lastRenderedPageBreak/>
        <w:t>Fig</w:t>
      </w:r>
      <w:r w:rsidRPr="00A502C1">
        <w:rPr>
          <w:rFonts w:eastAsia="Aptos" w:cstheme="minorHAnsi"/>
          <w:i/>
          <w:iCs/>
          <w:kern w:val="2"/>
          <w:sz w:val="20"/>
          <w:szCs w:val="20"/>
          <w14:ligatures w14:val="standardContextual"/>
        </w:rPr>
        <w:t xml:space="preserve">. </w:t>
      </w:r>
      <w:r w:rsidR="00AE2701">
        <w:rPr>
          <w:rFonts w:eastAsia="Aptos" w:cstheme="minorHAnsi"/>
          <w:i/>
          <w:iCs/>
          <w:kern w:val="2"/>
          <w:sz w:val="20"/>
          <w:szCs w:val="20"/>
          <w14:ligatures w14:val="standardContextual"/>
        </w:rPr>
        <w:t>6</w:t>
      </w:r>
      <w:r w:rsidRPr="00A502C1">
        <w:rPr>
          <w:rFonts w:eastAsia="Aptos" w:cstheme="minorHAnsi"/>
          <w:i/>
          <w:iCs/>
          <w:kern w:val="2"/>
          <w:sz w:val="20"/>
          <w:szCs w:val="20"/>
          <w14:ligatures w14:val="standardContextual"/>
        </w:rPr>
        <w:t xml:space="preserve"> </w:t>
      </w:r>
      <w:r>
        <w:rPr>
          <w:rFonts w:eastAsia="Aptos" w:cstheme="minorHAnsi"/>
          <w:i/>
          <w:iCs/>
          <w:kern w:val="2"/>
          <w:sz w:val="20"/>
          <w:szCs w:val="20"/>
          <w14:ligatures w14:val="standardContextual"/>
        </w:rPr>
        <w:t>Contributo per settore attività economica</w:t>
      </w:r>
    </w:p>
    <w:p w14:paraId="3FB09CC1" w14:textId="104BF77F" w:rsidR="007E744D" w:rsidRDefault="007E744D" w:rsidP="006A5E0F">
      <w:pPr>
        <w:spacing w:after="0" w:line="240" w:lineRule="auto"/>
        <w:jc w:val="center"/>
        <w:rPr>
          <w:rFonts w:eastAsia="Aptos" w:cstheme="minorHAnsi"/>
          <w:kern w:val="2"/>
          <w14:ligatures w14:val="standardContextual"/>
        </w:rPr>
      </w:pPr>
      <w:r>
        <w:rPr>
          <w:rFonts w:eastAsia="Aptos" w:cstheme="minorHAnsi"/>
          <w:noProof/>
          <w:kern w:val="2"/>
          <w14:ligatures w14:val="standardContextual"/>
        </w:rPr>
        <w:drawing>
          <wp:inline distT="0" distB="0" distL="0" distR="0" wp14:anchorId="41955892" wp14:editId="4E26DEE4">
            <wp:extent cx="4536310" cy="3060000"/>
            <wp:effectExtent l="0" t="0" r="0" b="7620"/>
            <wp:docPr id="12800079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36310" cy="3060000"/>
                    </a:xfrm>
                    <a:prstGeom prst="rect">
                      <a:avLst/>
                    </a:prstGeom>
                    <a:noFill/>
                  </pic:spPr>
                </pic:pic>
              </a:graphicData>
            </a:graphic>
          </wp:inline>
        </w:drawing>
      </w:r>
    </w:p>
    <w:p w14:paraId="2D145988" w14:textId="77777777" w:rsidR="006A5E0F" w:rsidRPr="00063D2B" w:rsidRDefault="006A5E0F" w:rsidP="00F9245E">
      <w:pPr>
        <w:spacing w:after="120" w:line="240" w:lineRule="auto"/>
        <w:ind w:left="1276" w:right="1418"/>
        <w:jc w:val="both"/>
        <w:rPr>
          <w:rFonts w:eastAsia="Aptos" w:cstheme="minorHAnsi"/>
          <w:i/>
          <w:iCs/>
          <w:kern w:val="2"/>
          <w:sz w:val="18"/>
          <w:szCs w:val="18"/>
          <w14:ligatures w14:val="standardContextual"/>
        </w:rPr>
      </w:pPr>
      <w:r w:rsidRPr="00063D2B">
        <w:rPr>
          <w:rFonts w:eastAsia="Aptos" w:cstheme="minorHAnsi"/>
          <w:i/>
          <w:iCs/>
          <w:kern w:val="2"/>
          <w:sz w:val="18"/>
          <w:szCs w:val="18"/>
          <w14:ligatures w14:val="standardContextual"/>
        </w:rPr>
        <w:t xml:space="preserve">Fonte: </w:t>
      </w:r>
      <w:r>
        <w:rPr>
          <w:rFonts w:eastAsia="Aptos" w:cstheme="minorHAnsi"/>
          <w:i/>
          <w:iCs/>
          <w:kern w:val="2"/>
          <w:sz w:val="18"/>
          <w:szCs w:val="18"/>
          <w14:ligatures w14:val="standardContextual"/>
        </w:rPr>
        <w:t>Regione Marche,</w:t>
      </w:r>
      <w:r w:rsidRPr="00063D2B">
        <w:rPr>
          <w:rFonts w:eastAsia="Aptos" w:cstheme="minorHAnsi"/>
          <w:i/>
          <w:iCs/>
          <w:kern w:val="2"/>
          <w:sz w:val="18"/>
          <w:szCs w:val="18"/>
          <w14:ligatures w14:val="standardContextual"/>
        </w:rPr>
        <w:t xml:space="preserve"> </w:t>
      </w:r>
      <w:r>
        <w:rPr>
          <w:rFonts w:eastAsia="Aptos" w:cstheme="minorHAnsi"/>
          <w:i/>
          <w:iCs/>
          <w:kern w:val="2"/>
          <w:sz w:val="18"/>
          <w:szCs w:val="18"/>
          <w14:ligatures w14:val="standardContextual"/>
        </w:rPr>
        <w:t>aprile</w:t>
      </w:r>
      <w:r w:rsidRPr="00063D2B">
        <w:rPr>
          <w:rFonts w:eastAsia="Aptos" w:cstheme="minorHAnsi"/>
          <w:i/>
          <w:iCs/>
          <w:kern w:val="2"/>
          <w:sz w:val="18"/>
          <w:szCs w:val="18"/>
          <w14:ligatures w14:val="standardContextual"/>
        </w:rPr>
        <w:t xml:space="preserve"> 2024</w:t>
      </w:r>
    </w:p>
    <w:p w14:paraId="48436285" w14:textId="1CB36167" w:rsidR="00B95D97" w:rsidRPr="00063D2B" w:rsidRDefault="00976370" w:rsidP="00AF6386">
      <w:pPr>
        <w:spacing w:after="120" w:line="276" w:lineRule="auto"/>
        <w:jc w:val="both"/>
        <w:rPr>
          <w:rFonts w:eastAsia="Aptos" w:cstheme="minorHAnsi"/>
          <w:kern w:val="2"/>
          <w14:ligatures w14:val="standardContextual"/>
        </w:rPr>
      </w:pPr>
      <w:r>
        <w:rPr>
          <w:rFonts w:eastAsia="Aptos" w:cstheme="minorHAnsi"/>
          <w:kern w:val="2"/>
          <w14:ligatures w14:val="standardContextual"/>
        </w:rPr>
        <w:t xml:space="preserve">Sulla base delle performance e dei risultati postivi raggiunti attraverso la misura in oggetto Regione Marche </w:t>
      </w:r>
      <w:r w:rsidR="00B82E8E">
        <w:rPr>
          <w:rFonts w:eastAsia="Aptos" w:cstheme="minorHAnsi"/>
          <w:kern w:val="2"/>
          <w14:ligatures w14:val="standardContextual"/>
        </w:rPr>
        <w:t>ha sviluppato all’interno della programmazione FESR 2021-2027 un nuovo intervento di supporto all’acceso al credito delle imprese attraverso la costituzione del Fondo Patrimonio PMI.</w:t>
      </w:r>
      <w:r w:rsidR="00AF6386">
        <w:rPr>
          <w:rFonts w:eastAsia="Aptos" w:cstheme="minorHAnsi"/>
          <w:kern w:val="2"/>
          <w14:ligatures w14:val="standardContextual"/>
        </w:rPr>
        <w:t xml:space="preserve"> La misura è dettagliata nelle sezioni che seguono.</w:t>
      </w:r>
    </w:p>
    <w:p w14:paraId="169A53DD" w14:textId="2836144B" w:rsidR="00684768" w:rsidRPr="00063D2B" w:rsidRDefault="00662E57" w:rsidP="00684768">
      <w:pPr>
        <w:pStyle w:val="Titolo1"/>
        <w:spacing w:after="120"/>
        <w:jc w:val="both"/>
        <w:rPr>
          <w:b/>
        </w:rPr>
      </w:pPr>
      <w:bookmarkStart w:id="6" w:name="_Toc192061647"/>
      <w:r>
        <w:rPr>
          <w:b/>
        </w:rPr>
        <w:t xml:space="preserve">UNA </w:t>
      </w:r>
      <w:r w:rsidR="00684768" w:rsidRPr="00063D2B">
        <w:rPr>
          <w:b/>
        </w:rPr>
        <w:t>MISURA REGIONALE PER IL SUPPORTO ALL’ACCESSO AL CREDITO</w:t>
      </w:r>
      <w:bookmarkEnd w:id="6"/>
    </w:p>
    <w:p w14:paraId="72F28E5F" w14:textId="77777777" w:rsidR="00662E57" w:rsidRPr="00662E57" w:rsidRDefault="00662E57" w:rsidP="00662E57">
      <w:pPr>
        <w:pStyle w:val="Titolo2"/>
        <w:rPr>
          <w:rFonts w:cstheme="minorHAnsi"/>
          <w:b/>
          <w:sz w:val="24"/>
          <w:szCs w:val="24"/>
        </w:rPr>
      </w:pPr>
      <w:bookmarkStart w:id="7" w:name="_Toc192061648"/>
      <w:r w:rsidRPr="00662E57">
        <w:rPr>
          <w:rFonts w:cstheme="minorHAnsi"/>
          <w:b/>
          <w:sz w:val="24"/>
          <w:szCs w:val="24"/>
        </w:rPr>
        <w:t>LE GIUSTIFICAZIONI ALLA BASE DELLA COMBINAZIONE DI STRUMENTI FINANZIARI E SOVVENZIONI</w:t>
      </w:r>
      <w:bookmarkEnd w:id="7"/>
      <w:r w:rsidRPr="00662E57">
        <w:rPr>
          <w:rFonts w:cstheme="minorHAnsi"/>
          <w:b/>
          <w:sz w:val="24"/>
          <w:szCs w:val="24"/>
        </w:rPr>
        <w:t xml:space="preserve"> </w:t>
      </w:r>
    </w:p>
    <w:p w14:paraId="677B250B" w14:textId="55C2C36B" w:rsidR="000C2416" w:rsidRDefault="006F5F1A" w:rsidP="00662E57">
      <w:pPr>
        <w:spacing w:after="120" w:line="276" w:lineRule="auto"/>
        <w:jc w:val="both"/>
        <w:rPr>
          <w:rFonts w:eastAsia="Calibri" w:cstheme="minorHAnsi"/>
          <w:color w:val="000000"/>
          <w:u w:color="000000"/>
          <w:bdr w:val="nil"/>
          <w:lang w:eastAsia="it-IT"/>
        </w:rPr>
      </w:pPr>
      <w:r>
        <w:t>Il paragrafo intende dimostrare che le s</w:t>
      </w:r>
      <w:r w:rsidR="000C2416">
        <w:t>ovvenzion</w:t>
      </w:r>
      <w:r>
        <w:t xml:space="preserve">i previste dal Fondo </w:t>
      </w:r>
      <w:r w:rsidR="001C356D">
        <w:t xml:space="preserve">“PATRIMONIO </w:t>
      </w:r>
      <w:r>
        <w:t>PMI</w:t>
      </w:r>
      <w:r w:rsidR="001C356D">
        <w:t>”</w:t>
      </w:r>
      <w:r>
        <w:t xml:space="preserve"> sono</w:t>
      </w:r>
      <w:r w:rsidR="000C2416">
        <w:t xml:space="preserve"> collegat</w:t>
      </w:r>
      <w:r>
        <w:t>e</w:t>
      </w:r>
      <w:r w:rsidR="000C2416">
        <w:t xml:space="preserve"> e necessari</w:t>
      </w:r>
      <w:r>
        <w:t>e</w:t>
      </w:r>
      <w:r w:rsidR="000C2416">
        <w:t xml:space="preserve"> all’attuazione dello </w:t>
      </w:r>
      <w:r>
        <w:t>strumento finanziario.</w:t>
      </w:r>
    </w:p>
    <w:p w14:paraId="68CC7083" w14:textId="59D243AA" w:rsidR="006F5F1A" w:rsidRDefault="006F5F1A" w:rsidP="006F5F1A">
      <w:pPr>
        <w:spacing w:after="120" w:line="276" w:lineRule="auto"/>
        <w:jc w:val="both"/>
        <w:rPr>
          <w:rFonts w:eastAsia="Calibri" w:cstheme="minorHAnsi"/>
          <w:color w:val="000000"/>
          <w:u w:color="000000"/>
          <w:bdr w:val="nil"/>
          <w:lang w:eastAsia="it-IT"/>
        </w:rPr>
      </w:pPr>
      <w:r>
        <w:rPr>
          <w:rFonts w:eastAsia="Calibri" w:cstheme="minorHAnsi"/>
          <w:color w:val="000000"/>
          <w:u w:color="000000"/>
          <w:bdr w:val="nil"/>
          <w:lang w:eastAsia="it-IT"/>
        </w:rPr>
        <w:t>In particolare l’operazione congiunta di aumento del capitale e programma di investimento richiesto all’impresa tende a generare quello che in termini anglosassoni è definito “</w:t>
      </w:r>
      <w:proofErr w:type="spellStart"/>
      <w:r w:rsidRPr="006F5F1A">
        <w:rPr>
          <w:rFonts w:eastAsia="Calibri" w:cstheme="minorHAnsi"/>
          <w:color w:val="000000"/>
          <w:u w:color="000000"/>
          <w:bdr w:val="nil"/>
          <w:lang w:eastAsia="it-IT"/>
        </w:rPr>
        <w:t>financial</w:t>
      </w:r>
      <w:proofErr w:type="spellEnd"/>
      <w:r w:rsidRPr="006F5F1A">
        <w:rPr>
          <w:rFonts w:eastAsia="Calibri" w:cstheme="minorHAnsi"/>
          <w:color w:val="000000"/>
          <w:u w:color="000000"/>
          <w:bdr w:val="nil"/>
          <w:lang w:eastAsia="it-IT"/>
        </w:rPr>
        <w:t xml:space="preserve"> </w:t>
      </w:r>
      <w:proofErr w:type="spellStart"/>
      <w:r w:rsidRPr="006F5F1A">
        <w:rPr>
          <w:rFonts w:eastAsia="Calibri" w:cstheme="minorHAnsi"/>
          <w:color w:val="000000"/>
          <w:u w:color="000000"/>
          <w:bdr w:val="nil"/>
          <w:lang w:eastAsia="it-IT"/>
        </w:rPr>
        <w:t>viability</w:t>
      </w:r>
      <w:proofErr w:type="spellEnd"/>
      <w:r w:rsidRPr="006F5F1A">
        <w:rPr>
          <w:rFonts w:eastAsia="Calibri" w:cstheme="minorHAnsi"/>
          <w:color w:val="000000"/>
          <w:u w:color="000000"/>
          <w:bdr w:val="nil"/>
          <w:lang w:eastAsia="it-IT"/>
        </w:rPr>
        <w:t xml:space="preserve"> gap</w:t>
      </w:r>
      <w:r>
        <w:rPr>
          <w:rFonts w:eastAsia="Calibri" w:cstheme="minorHAnsi"/>
          <w:color w:val="000000"/>
          <w:u w:color="000000"/>
          <w:bdr w:val="nil"/>
          <w:lang w:eastAsia="it-IT"/>
        </w:rPr>
        <w:t>”</w:t>
      </w:r>
      <w:r w:rsidRPr="006F5F1A">
        <w:rPr>
          <w:rFonts w:eastAsia="Calibri" w:cstheme="minorHAnsi"/>
          <w:color w:val="000000"/>
          <w:u w:color="000000"/>
          <w:bdr w:val="nil"/>
          <w:lang w:eastAsia="it-IT"/>
        </w:rPr>
        <w:t>, ovvero la necessita della sovvenzione per svolgere il progetto e ripagare il prodotto finanziario, embedded nello strumento finanziario combinato.</w:t>
      </w:r>
      <w:r>
        <w:rPr>
          <w:rFonts w:eastAsia="Calibri" w:cstheme="minorHAnsi"/>
          <w:color w:val="000000"/>
          <w:u w:color="000000"/>
          <w:bdr w:val="nil"/>
          <w:lang w:eastAsia="it-IT"/>
        </w:rPr>
        <w:t xml:space="preserve"> In tale maniera </w:t>
      </w:r>
      <w:r w:rsidRPr="006F5F1A">
        <w:rPr>
          <w:rFonts w:eastAsia="Calibri" w:cstheme="minorHAnsi"/>
          <w:color w:val="000000"/>
          <w:u w:color="000000"/>
          <w:bdr w:val="nil"/>
          <w:lang w:eastAsia="it-IT"/>
        </w:rPr>
        <w:t xml:space="preserve">la sovvenzione </w:t>
      </w:r>
      <w:r>
        <w:rPr>
          <w:rFonts w:eastAsia="Calibri" w:cstheme="minorHAnsi"/>
          <w:color w:val="000000"/>
          <w:u w:color="000000"/>
          <w:bdr w:val="nil"/>
          <w:lang w:eastAsia="it-IT"/>
        </w:rPr>
        <w:t xml:space="preserve">pubblica </w:t>
      </w:r>
      <w:r w:rsidRPr="006F5F1A">
        <w:rPr>
          <w:rFonts w:eastAsia="Calibri" w:cstheme="minorHAnsi"/>
          <w:color w:val="000000"/>
          <w:u w:color="000000"/>
          <w:bdr w:val="nil"/>
          <w:lang w:eastAsia="it-IT"/>
        </w:rPr>
        <w:t>fornita al</w:t>
      </w:r>
      <w:r>
        <w:rPr>
          <w:rFonts w:eastAsia="Calibri" w:cstheme="minorHAnsi"/>
          <w:color w:val="000000"/>
          <w:u w:color="000000"/>
          <w:bdr w:val="nil"/>
          <w:lang w:eastAsia="it-IT"/>
        </w:rPr>
        <w:t>l’impresa</w:t>
      </w:r>
      <w:r w:rsidRPr="006F5F1A">
        <w:rPr>
          <w:rFonts w:eastAsia="Calibri" w:cstheme="minorHAnsi"/>
          <w:color w:val="000000"/>
          <w:u w:color="000000"/>
          <w:bdr w:val="nil"/>
          <w:lang w:eastAsia="it-IT"/>
        </w:rPr>
        <w:t xml:space="preserve"> ridu</w:t>
      </w:r>
      <w:r>
        <w:rPr>
          <w:rFonts w:eastAsia="Calibri" w:cstheme="minorHAnsi"/>
          <w:color w:val="000000"/>
          <w:u w:color="000000"/>
          <w:bdr w:val="nil"/>
          <w:lang w:eastAsia="it-IT"/>
        </w:rPr>
        <w:t>ce</w:t>
      </w:r>
      <w:r w:rsidRPr="006F5F1A">
        <w:rPr>
          <w:rFonts w:eastAsia="Calibri" w:cstheme="minorHAnsi"/>
          <w:color w:val="000000"/>
          <w:u w:color="000000"/>
          <w:bdr w:val="nil"/>
          <w:lang w:eastAsia="it-IT"/>
        </w:rPr>
        <w:t xml:space="preserve"> le sue spese in conto capitale, aumentando nel contempo la sostenibilità finanziaria del progetto. </w:t>
      </w:r>
    </w:p>
    <w:p w14:paraId="1BD77B4A" w14:textId="48D6218F" w:rsidR="006F5F1A" w:rsidRDefault="006F5F1A" w:rsidP="006F5F1A">
      <w:pPr>
        <w:spacing w:after="120" w:line="276" w:lineRule="auto"/>
        <w:jc w:val="both"/>
        <w:rPr>
          <w:rFonts w:eastAsia="Calibri" w:cstheme="minorHAnsi"/>
          <w:color w:val="000000"/>
          <w:u w:color="000000"/>
          <w:bdr w:val="nil"/>
          <w:lang w:eastAsia="it-IT"/>
        </w:rPr>
      </w:pPr>
      <w:r>
        <w:rPr>
          <w:rFonts w:eastAsia="Calibri" w:cstheme="minorHAnsi"/>
          <w:color w:val="000000"/>
          <w:u w:color="000000"/>
          <w:bdr w:val="nil"/>
          <w:lang w:eastAsia="it-IT"/>
        </w:rPr>
        <w:t>L</w:t>
      </w:r>
      <w:r w:rsidRPr="006F5F1A">
        <w:rPr>
          <w:rFonts w:eastAsia="Calibri" w:cstheme="minorHAnsi"/>
          <w:color w:val="000000"/>
          <w:u w:color="000000"/>
          <w:bdr w:val="nil"/>
          <w:lang w:eastAsia="it-IT"/>
        </w:rPr>
        <w:t xml:space="preserve">a combinazione di SF e sovvenzioni a gestione condivisa </w:t>
      </w:r>
      <w:r>
        <w:rPr>
          <w:rFonts w:eastAsia="Calibri" w:cstheme="minorHAnsi"/>
          <w:color w:val="000000"/>
          <w:u w:color="000000"/>
          <w:bdr w:val="nil"/>
          <w:lang w:eastAsia="it-IT"/>
        </w:rPr>
        <w:t xml:space="preserve">nell’operatività del Fondo </w:t>
      </w:r>
      <w:r w:rsidR="001C356D">
        <w:rPr>
          <w:rFonts w:eastAsia="Calibri" w:cstheme="minorHAnsi"/>
          <w:color w:val="000000"/>
          <w:u w:color="000000"/>
          <w:bdr w:val="nil"/>
          <w:lang w:eastAsia="it-IT"/>
        </w:rPr>
        <w:t xml:space="preserve">“PATRIMONIO </w:t>
      </w:r>
      <w:r>
        <w:rPr>
          <w:rFonts w:eastAsia="Calibri" w:cstheme="minorHAnsi"/>
          <w:color w:val="000000"/>
          <w:u w:color="000000"/>
          <w:bdr w:val="nil"/>
          <w:lang w:eastAsia="it-IT"/>
        </w:rPr>
        <w:t>PMI</w:t>
      </w:r>
      <w:r w:rsidR="001C356D">
        <w:rPr>
          <w:rFonts w:eastAsia="Calibri" w:cstheme="minorHAnsi"/>
          <w:color w:val="000000"/>
          <w:u w:color="000000"/>
          <w:bdr w:val="nil"/>
          <w:lang w:eastAsia="it-IT"/>
        </w:rPr>
        <w:t>”</w:t>
      </w:r>
      <w:r>
        <w:rPr>
          <w:rFonts w:eastAsia="Calibri" w:cstheme="minorHAnsi"/>
          <w:color w:val="000000"/>
          <w:u w:color="000000"/>
          <w:bdr w:val="nil"/>
          <w:lang w:eastAsia="it-IT"/>
        </w:rPr>
        <w:t xml:space="preserve"> </w:t>
      </w:r>
      <w:r w:rsidRPr="006F5F1A">
        <w:rPr>
          <w:rFonts w:eastAsia="Calibri" w:cstheme="minorHAnsi"/>
          <w:color w:val="000000"/>
          <w:u w:color="000000"/>
          <w:bdr w:val="nil"/>
          <w:lang w:eastAsia="it-IT"/>
        </w:rPr>
        <w:t>svolg</w:t>
      </w:r>
      <w:r>
        <w:rPr>
          <w:rFonts w:eastAsia="Calibri" w:cstheme="minorHAnsi"/>
          <w:color w:val="000000"/>
          <w:u w:color="000000"/>
          <w:bdr w:val="nil"/>
          <w:lang w:eastAsia="it-IT"/>
        </w:rPr>
        <w:t>e</w:t>
      </w:r>
      <w:r w:rsidRPr="006F5F1A">
        <w:rPr>
          <w:rFonts w:eastAsia="Calibri" w:cstheme="minorHAnsi"/>
          <w:color w:val="000000"/>
          <w:u w:color="000000"/>
          <w:bdr w:val="nil"/>
          <w:lang w:eastAsia="it-IT"/>
        </w:rPr>
        <w:t xml:space="preserve"> </w:t>
      </w:r>
      <w:r>
        <w:rPr>
          <w:rFonts w:eastAsia="Calibri" w:cstheme="minorHAnsi"/>
          <w:color w:val="000000"/>
          <w:u w:color="000000"/>
          <w:bdr w:val="nil"/>
          <w:lang w:eastAsia="it-IT"/>
        </w:rPr>
        <w:t xml:space="preserve">quindi </w:t>
      </w:r>
      <w:r w:rsidRPr="006F5F1A">
        <w:rPr>
          <w:rFonts w:eastAsia="Calibri" w:cstheme="minorHAnsi"/>
          <w:color w:val="000000"/>
          <w:u w:color="000000"/>
          <w:bdr w:val="nil"/>
          <w:lang w:eastAsia="it-IT"/>
        </w:rPr>
        <w:t xml:space="preserve">un ruolo importante nel raggiungimento degli obiettivi politici regionali e nel risolvere i fallimenti del mercato legati alla progettazione, alla fattibilità e all’accesso </w:t>
      </w:r>
      <w:r>
        <w:rPr>
          <w:rFonts w:eastAsia="Calibri" w:cstheme="minorHAnsi"/>
          <w:color w:val="000000"/>
          <w:u w:color="000000"/>
          <w:bdr w:val="nil"/>
          <w:lang w:eastAsia="it-IT"/>
        </w:rPr>
        <w:t>su interventi di capitalizzazione</w:t>
      </w:r>
      <w:r w:rsidRPr="006F5F1A">
        <w:rPr>
          <w:rFonts w:eastAsia="Calibri" w:cstheme="minorHAnsi"/>
          <w:color w:val="000000"/>
          <w:u w:color="000000"/>
          <w:bdr w:val="nil"/>
          <w:lang w:eastAsia="it-IT"/>
        </w:rPr>
        <w:t xml:space="preserve">. </w:t>
      </w:r>
      <w:r>
        <w:rPr>
          <w:rFonts w:eastAsia="Calibri" w:cstheme="minorHAnsi"/>
          <w:color w:val="000000"/>
          <w:u w:color="000000"/>
          <w:bdr w:val="nil"/>
          <w:lang w:eastAsia="it-IT"/>
        </w:rPr>
        <w:t xml:space="preserve">In tale caso infatti si rende necessaria </w:t>
      </w:r>
      <w:r w:rsidRPr="006F5F1A">
        <w:rPr>
          <w:rFonts w:eastAsia="Calibri" w:cstheme="minorHAnsi"/>
          <w:color w:val="000000"/>
          <w:u w:color="000000"/>
          <w:bdr w:val="nil"/>
          <w:lang w:eastAsia="it-IT"/>
        </w:rPr>
        <w:t xml:space="preserve">soprattutto </w:t>
      </w:r>
      <w:r>
        <w:rPr>
          <w:rFonts w:eastAsia="Calibri" w:cstheme="minorHAnsi"/>
          <w:color w:val="000000"/>
          <w:u w:color="000000"/>
          <w:bdr w:val="nil"/>
          <w:lang w:eastAsia="it-IT"/>
        </w:rPr>
        <w:t>per evitare che l’</w:t>
      </w:r>
      <w:r w:rsidRPr="006F5F1A">
        <w:rPr>
          <w:rFonts w:eastAsia="Calibri" w:cstheme="minorHAnsi"/>
          <w:color w:val="000000"/>
          <w:u w:color="000000"/>
          <w:bdr w:val="nil"/>
          <w:lang w:eastAsia="it-IT"/>
        </w:rPr>
        <w:t>investiment</w:t>
      </w:r>
      <w:r>
        <w:rPr>
          <w:rFonts w:eastAsia="Calibri" w:cstheme="minorHAnsi"/>
          <w:color w:val="000000"/>
          <w:u w:color="000000"/>
          <w:bdr w:val="nil"/>
          <w:lang w:eastAsia="it-IT"/>
        </w:rPr>
        <w:t>o</w:t>
      </w:r>
      <w:r w:rsidRPr="006F5F1A">
        <w:rPr>
          <w:rFonts w:eastAsia="Calibri" w:cstheme="minorHAnsi"/>
          <w:color w:val="000000"/>
          <w:u w:color="000000"/>
          <w:bdr w:val="nil"/>
          <w:lang w:eastAsia="it-IT"/>
        </w:rPr>
        <w:t xml:space="preserve">, senza un sostegno aggiuntivo, non </w:t>
      </w:r>
      <w:r>
        <w:rPr>
          <w:rFonts w:eastAsia="Calibri" w:cstheme="minorHAnsi"/>
          <w:color w:val="000000"/>
          <w:u w:color="000000"/>
          <w:bdr w:val="nil"/>
          <w:lang w:eastAsia="it-IT"/>
        </w:rPr>
        <w:t>sarebbe</w:t>
      </w:r>
      <w:r w:rsidRPr="006F5F1A">
        <w:rPr>
          <w:rFonts w:eastAsia="Calibri" w:cstheme="minorHAnsi"/>
          <w:color w:val="000000"/>
          <w:u w:color="000000"/>
          <w:bdr w:val="nil"/>
          <w:lang w:eastAsia="it-IT"/>
        </w:rPr>
        <w:t xml:space="preserve"> in grado di generare sufficienti ritorni economici o risparmi sui costi che renda l</w:t>
      </w:r>
      <w:r>
        <w:rPr>
          <w:rFonts w:eastAsia="Calibri" w:cstheme="minorHAnsi"/>
          <w:color w:val="000000"/>
          <w:u w:color="000000"/>
          <w:bdr w:val="nil"/>
          <w:lang w:eastAsia="it-IT"/>
        </w:rPr>
        <w:t>’</w:t>
      </w:r>
      <w:r w:rsidRPr="006F5F1A">
        <w:rPr>
          <w:rFonts w:eastAsia="Calibri" w:cstheme="minorHAnsi"/>
          <w:color w:val="000000"/>
          <w:u w:color="000000"/>
          <w:bdr w:val="nil"/>
          <w:lang w:eastAsia="it-IT"/>
        </w:rPr>
        <w:t>operazion</w:t>
      </w:r>
      <w:r>
        <w:rPr>
          <w:rFonts w:eastAsia="Calibri" w:cstheme="minorHAnsi"/>
          <w:color w:val="000000"/>
          <w:u w:color="000000"/>
          <w:bdr w:val="nil"/>
          <w:lang w:eastAsia="it-IT"/>
        </w:rPr>
        <w:t>e di capitalizzazione sostenibile.</w:t>
      </w:r>
    </w:p>
    <w:p w14:paraId="63B5E0F5" w14:textId="0C71551F" w:rsidR="006F5F1A" w:rsidRPr="006F5F1A" w:rsidRDefault="001C356D" w:rsidP="006F5F1A">
      <w:pPr>
        <w:spacing w:after="120" w:line="276" w:lineRule="auto"/>
        <w:jc w:val="both"/>
        <w:rPr>
          <w:rFonts w:eastAsia="Calibri" w:cstheme="minorHAnsi"/>
          <w:color w:val="000000"/>
          <w:u w:color="000000"/>
          <w:bdr w:val="nil"/>
          <w:lang w:eastAsia="it-IT"/>
        </w:rPr>
      </w:pPr>
      <w:r>
        <w:rPr>
          <w:rFonts w:eastAsia="Calibri" w:cstheme="minorHAnsi"/>
          <w:color w:val="000000"/>
          <w:u w:color="000000"/>
          <w:bdr w:val="nil"/>
          <w:lang w:eastAsia="it-IT"/>
        </w:rPr>
        <w:t>La quota di contributo in conto investimenti combinata con la quota percentuale di finanziamento bancario agevolato da sovvenzioni che ne riducono il costo, sicuramente tende a</w:t>
      </w:r>
      <w:r w:rsidR="006F5F1A" w:rsidRPr="006F5F1A">
        <w:rPr>
          <w:rFonts w:eastAsia="Calibri" w:cstheme="minorHAnsi"/>
          <w:color w:val="000000"/>
          <w:u w:color="000000"/>
          <w:bdr w:val="nil"/>
          <w:lang w:eastAsia="it-IT"/>
        </w:rPr>
        <w:t xml:space="preserve"> stimolare la domanda di credito e attrarre maggiori finanziamenti privati.</w:t>
      </w:r>
    </w:p>
    <w:p w14:paraId="0C89A8CB" w14:textId="1B9615DB" w:rsidR="006F5F1A" w:rsidRDefault="001C356D" w:rsidP="001C356D">
      <w:pPr>
        <w:spacing w:after="120" w:line="276" w:lineRule="auto"/>
        <w:jc w:val="both"/>
        <w:rPr>
          <w:rFonts w:eastAsia="Calibri" w:cstheme="minorHAnsi"/>
          <w:color w:val="000000"/>
          <w:u w:color="000000"/>
          <w:bdr w:val="nil"/>
          <w:lang w:eastAsia="it-IT"/>
        </w:rPr>
      </w:pPr>
      <w:r>
        <w:rPr>
          <w:rFonts w:eastAsia="Calibri" w:cstheme="minorHAnsi"/>
          <w:color w:val="000000"/>
          <w:u w:color="000000"/>
          <w:bdr w:val="nil"/>
          <w:lang w:eastAsia="it-IT"/>
        </w:rPr>
        <w:t>Oltre a ciò, l</w:t>
      </w:r>
      <w:r w:rsidR="006F5F1A" w:rsidRPr="006F5F1A">
        <w:rPr>
          <w:rFonts w:eastAsia="Calibri" w:cstheme="minorHAnsi"/>
          <w:color w:val="000000"/>
          <w:u w:color="000000"/>
          <w:bdr w:val="nil"/>
          <w:lang w:eastAsia="it-IT"/>
        </w:rPr>
        <w:t xml:space="preserve">o strumento della sovvenzione a riduzione del costo degli interessi e della garanzia privata </w:t>
      </w:r>
      <w:r>
        <w:rPr>
          <w:rFonts w:eastAsia="Calibri" w:cstheme="minorHAnsi"/>
          <w:color w:val="000000"/>
          <w:u w:color="000000"/>
          <w:bdr w:val="nil"/>
          <w:lang w:eastAsia="it-IT"/>
        </w:rPr>
        <w:t xml:space="preserve">combinato con un fondo di garanzia in forma di riassicurazione </w:t>
      </w:r>
      <w:r w:rsidR="006F5F1A" w:rsidRPr="006F5F1A">
        <w:rPr>
          <w:rFonts w:eastAsia="Calibri" w:cstheme="minorHAnsi"/>
          <w:color w:val="000000"/>
          <w:u w:color="000000"/>
          <w:bdr w:val="nil"/>
          <w:lang w:eastAsia="it-IT"/>
        </w:rPr>
        <w:t xml:space="preserve">è </w:t>
      </w:r>
      <w:r>
        <w:rPr>
          <w:rFonts w:eastAsia="Calibri" w:cstheme="minorHAnsi"/>
          <w:color w:val="000000"/>
          <w:u w:color="000000"/>
          <w:bdr w:val="nil"/>
          <w:lang w:eastAsia="it-IT"/>
        </w:rPr>
        <w:t xml:space="preserve">ormai da tempo utilizzato nella strategia regionale di sostegno al credito con esiti molto positivi e gradimento da parte delle imprese. Ciò si </w:t>
      </w:r>
      <w:proofErr w:type="spellStart"/>
      <w:r>
        <w:rPr>
          <w:rFonts w:eastAsia="Calibri" w:cstheme="minorHAnsi"/>
          <w:color w:val="000000"/>
          <w:u w:color="000000"/>
          <w:bdr w:val="nil"/>
          <w:lang w:eastAsia="it-IT"/>
        </w:rPr>
        <w:t>ritene</w:t>
      </w:r>
      <w:proofErr w:type="spellEnd"/>
      <w:r>
        <w:rPr>
          <w:rFonts w:eastAsia="Calibri" w:cstheme="minorHAnsi"/>
          <w:color w:val="000000"/>
          <w:u w:color="000000"/>
          <w:bdr w:val="nil"/>
          <w:lang w:eastAsia="it-IT"/>
        </w:rPr>
        <w:t xml:space="preserve"> </w:t>
      </w:r>
      <w:r>
        <w:rPr>
          <w:rFonts w:eastAsia="Calibri" w:cstheme="minorHAnsi"/>
          <w:color w:val="000000"/>
          <w:u w:color="000000"/>
          <w:bdr w:val="nil"/>
          <w:lang w:eastAsia="it-IT"/>
        </w:rPr>
        <w:lastRenderedPageBreak/>
        <w:t xml:space="preserve">possa essere efficace anche </w:t>
      </w:r>
      <w:r w:rsidR="006F5F1A" w:rsidRPr="006F5F1A">
        <w:rPr>
          <w:rFonts w:eastAsia="Calibri" w:cstheme="minorHAnsi"/>
          <w:color w:val="000000"/>
          <w:u w:color="000000"/>
          <w:bdr w:val="nil"/>
          <w:lang w:eastAsia="it-IT"/>
        </w:rPr>
        <w:t>se si considera</w:t>
      </w:r>
      <w:r>
        <w:rPr>
          <w:rFonts w:eastAsia="Calibri" w:cstheme="minorHAnsi"/>
          <w:color w:val="000000"/>
          <w:u w:color="000000"/>
          <w:bdr w:val="nil"/>
          <w:lang w:eastAsia="it-IT"/>
        </w:rPr>
        <w:t xml:space="preserve"> la graduale riduzione </w:t>
      </w:r>
      <w:r w:rsidR="006F5F1A" w:rsidRPr="006F5F1A">
        <w:rPr>
          <w:rFonts w:eastAsia="Calibri" w:cstheme="minorHAnsi"/>
          <w:color w:val="000000"/>
          <w:u w:color="000000"/>
          <w:bdr w:val="nil"/>
          <w:lang w:eastAsia="it-IT"/>
        </w:rPr>
        <w:t xml:space="preserve">dei tassi di interesse bancari di questi ultimi mesi. </w:t>
      </w:r>
    </w:p>
    <w:p w14:paraId="67D12967" w14:textId="605DADAF" w:rsidR="000B1984" w:rsidRPr="006F5F1A" w:rsidRDefault="000B1984" w:rsidP="001C356D">
      <w:pPr>
        <w:spacing w:after="120" w:line="276" w:lineRule="auto"/>
        <w:jc w:val="both"/>
        <w:rPr>
          <w:rFonts w:eastAsia="Calibri" w:cstheme="minorHAnsi"/>
          <w:color w:val="000000"/>
          <w:u w:color="000000"/>
          <w:bdr w:val="nil"/>
          <w:lang w:eastAsia="it-IT"/>
        </w:rPr>
      </w:pPr>
      <w:r>
        <w:rPr>
          <w:rFonts w:eastAsia="Calibri" w:cstheme="minorHAnsi"/>
          <w:color w:val="000000"/>
          <w:u w:color="000000"/>
          <w:bdr w:val="nil"/>
          <w:lang w:eastAsia="it-IT"/>
        </w:rPr>
        <w:t>A dimostrazione di quanto sostenuto si rimanda al successivo paragrafo “</w:t>
      </w:r>
      <w:r w:rsidRPr="000B1984">
        <w:rPr>
          <w:rFonts w:eastAsia="Calibri" w:cstheme="minorHAnsi"/>
          <w:color w:val="000000"/>
          <w:u w:color="000000"/>
          <w:bdr w:val="nil"/>
          <w:lang w:eastAsia="it-IT"/>
        </w:rPr>
        <w:t>SIMULAZIONI ED EFFETTO LEVA</w:t>
      </w:r>
      <w:r>
        <w:rPr>
          <w:rFonts w:eastAsia="Calibri" w:cstheme="minorHAnsi"/>
          <w:color w:val="000000"/>
          <w:u w:color="000000"/>
          <w:bdr w:val="nil"/>
          <w:lang w:eastAsia="it-IT"/>
        </w:rPr>
        <w:t>”.</w:t>
      </w:r>
    </w:p>
    <w:p w14:paraId="46424026" w14:textId="44EFBBCC" w:rsidR="00CD0D59" w:rsidRPr="00063D2B" w:rsidRDefault="00D33266" w:rsidP="001C59FF">
      <w:pPr>
        <w:pStyle w:val="Titolo2"/>
        <w:rPr>
          <w:rFonts w:cstheme="minorHAnsi"/>
          <w:b/>
          <w:sz w:val="24"/>
          <w:szCs w:val="24"/>
        </w:rPr>
      </w:pPr>
      <w:bookmarkStart w:id="8" w:name="_Toc192061649"/>
      <w:r w:rsidRPr="00063D2B">
        <w:rPr>
          <w:rFonts w:cstheme="minorHAnsi"/>
          <w:b/>
          <w:sz w:val="24"/>
          <w:szCs w:val="24"/>
        </w:rPr>
        <w:t>OBIETTIVI D</w:t>
      </w:r>
      <w:r w:rsidR="001C356D">
        <w:rPr>
          <w:rFonts w:cstheme="minorHAnsi"/>
          <w:b/>
          <w:sz w:val="24"/>
          <w:szCs w:val="24"/>
        </w:rPr>
        <w:t>EL FONDO “PATRIOMNIO PMI”</w:t>
      </w:r>
      <w:bookmarkEnd w:id="8"/>
    </w:p>
    <w:p w14:paraId="739BFE50" w14:textId="77777777" w:rsidR="00917A3F" w:rsidRPr="00063D2B" w:rsidRDefault="00917A3F" w:rsidP="008767D3">
      <w:pPr>
        <w:spacing w:after="120" w:line="276" w:lineRule="auto"/>
        <w:jc w:val="both"/>
        <w:rPr>
          <w:rFonts w:eastAsia="Calibri" w:cstheme="minorHAnsi"/>
          <w:color w:val="000000"/>
          <w:u w:color="000000"/>
          <w:bdr w:val="nil"/>
          <w:lang w:eastAsia="it-IT"/>
        </w:rPr>
      </w:pPr>
      <w:r w:rsidRPr="00063D2B">
        <w:rPr>
          <w:rFonts w:eastAsia="Calibri" w:cstheme="minorHAnsi"/>
          <w:color w:val="000000"/>
          <w:u w:color="000000"/>
          <w:bdr w:val="nil"/>
          <w:lang w:eastAsia="it-IT"/>
        </w:rPr>
        <w:t>Il Fondo “PATRIMONIO PMI” intende agevolare l’accesso al credito attraverso operazioni di aumento di capitale sottoscritte da uno o più soci o investitori terzi e finalizzata a consentire la prosecuzione e il rilancio dell’attività d’impresa attraverso un programma di investimento, sulla base di un mix integrato di agevolazioni sullo stesso progetto di impresa.</w:t>
      </w:r>
    </w:p>
    <w:p w14:paraId="7023CEE7" w14:textId="3C544587" w:rsidR="00E74C21" w:rsidRPr="00063D2B" w:rsidRDefault="00E74C21" w:rsidP="001C59FF">
      <w:pPr>
        <w:pStyle w:val="Titolo2"/>
        <w:rPr>
          <w:rFonts w:cstheme="minorHAnsi"/>
          <w:b/>
          <w:sz w:val="24"/>
          <w:szCs w:val="24"/>
        </w:rPr>
      </w:pPr>
      <w:bookmarkStart w:id="9" w:name="_Toc192061650"/>
      <w:r w:rsidRPr="00063D2B">
        <w:rPr>
          <w:rFonts w:cstheme="minorHAnsi"/>
          <w:b/>
          <w:sz w:val="24"/>
          <w:szCs w:val="24"/>
        </w:rPr>
        <w:t>DESCRIZIONE SINTETICA DELL’INTERVENTO</w:t>
      </w:r>
      <w:bookmarkEnd w:id="9"/>
    </w:p>
    <w:p w14:paraId="30ECDF8C" w14:textId="1E2283ED" w:rsidR="00917A3F" w:rsidRPr="00063D2B" w:rsidRDefault="006C76D4" w:rsidP="00CB2B1F">
      <w:pPr>
        <w:spacing w:after="0" w:line="276" w:lineRule="auto"/>
        <w:jc w:val="both"/>
        <w:rPr>
          <w:rFonts w:cstheme="minorHAnsi"/>
        </w:rPr>
      </w:pPr>
      <w:r>
        <w:rPr>
          <w:rFonts w:eastAsia="Calibri" w:cstheme="minorHAnsi"/>
          <w:color w:val="000000"/>
          <w:u w:color="000000"/>
          <w:bdr w:val="nil"/>
          <w:lang w:eastAsia="it-IT"/>
        </w:rPr>
        <w:t xml:space="preserve">La misura si </w:t>
      </w:r>
      <w:r w:rsidR="00917A3F" w:rsidRPr="00063D2B">
        <w:rPr>
          <w:rFonts w:eastAsia="Calibri" w:cstheme="minorHAnsi"/>
          <w:color w:val="000000"/>
          <w:u w:color="000000"/>
          <w:bdr w:val="nil"/>
          <w:lang w:eastAsia="it-IT"/>
        </w:rPr>
        <w:t>compone di due linee di intervento:</w:t>
      </w:r>
      <w:r w:rsidR="00CB2B1F">
        <w:rPr>
          <w:rFonts w:eastAsia="Calibri" w:cstheme="minorHAnsi"/>
          <w:color w:val="000000"/>
          <w:u w:color="000000"/>
          <w:bdr w:val="nil"/>
          <w:lang w:eastAsia="it-IT"/>
        </w:rPr>
        <w:t xml:space="preserve"> </w:t>
      </w:r>
      <w:r w:rsidR="00CB2B1F" w:rsidRPr="00CB2B1F">
        <w:rPr>
          <w:rFonts w:eastAsia="Calibri" w:cstheme="minorHAnsi"/>
          <w:i/>
          <w:iCs/>
          <w:color w:val="000000"/>
          <w:u w:color="000000"/>
          <w:bdr w:val="nil"/>
          <w:lang w:eastAsia="it-IT"/>
        </w:rPr>
        <w:t>i)</w:t>
      </w:r>
      <w:r w:rsidR="00CB2B1F">
        <w:rPr>
          <w:rFonts w:eastAsia="Calibri" w:cstheme="minorHAnsi"/>
          <w:color w:val="000000"/>
          <w:u w:color="000000"/>
          <w:bdr w:val="nil"/>
          <w:lang w:eastAsia="it-IT"/>
        </w:rPr>
        <w:t xml:space="preserve"> </w:t>
      </w:r>
      <w:r w:rsidR="00917A3F" w:rsidRPr="008E1984">
        <w:rPr>
          <w:rFonts w:cstheme="minorHAnsi"/>
          <w:i/>
          <w:iCs/>
        </w:rPr>
        <w:t>Linea A</w:t>
      </w:r>
      <w:r w:rsidR="00917A3F" w:rsidRPr="00063D2B">
        <w:rPr>
          <w:rFonts w:cstheme="minorHAnsi"/>
          <w:b/>
          <w:bCs/>
        </w:rPr>
        <w:t>.</w:t>
      </w:r>
      <w:r w:rsidR="00917A3F" w:rsidRPr="00063D2B">
        <w:rPr>
          <w:rFonts w:cstheme="minorHAnsi"/>
        </w:rPr>
        <w:t xml:space="preserve"> Supporto alla patrimonializzazione di nuove società di capitali a seguito di trasformazione di società di persone e/o ditte individuali e che deliberano un aumento di capitale di almeno 25.000,00€</w:t>
      </w:r>
      <w:r w:rsidR="00CB2B1F">
        <w:rPr>
          <w:rFonts w:cstheme="minorHAnsi"/>
        </w:rPr>
        <w:t xml:space="preserve">; </w:t>
      </w:r>
      <w:r w:rsidR="00CB2B1F" w:rsidRPr="00CB2B1F">
        <w:rPr>
          <w:rFonts w:cstheme="minorHAnsi"/>
          <w:i/>
          <w:iCs/>
        </w:rPr>
        <w:t>ii)</w:t>
      </w:r>
      <w:r w:rsidR="00CB2B1F">
        <w:rPr>
          <w:rFonts w:cstheme="minorHAnsi"/>
        </w:rPr>
        <w:t xml:space="preserve"> </w:t>
      </w:r>
      <w:r w:rsidR="00917A3F" w:rsidRPr="008E1984">
        <w:rPr>
          <w:rFonts w:cstheme="minorHAnsi"/>
          <w:i/>
          <w:iCs/>
        </w:rPr>
        <w:t>Linea B</w:t>
      </w:r>
      <w:r w:rsidR="00917A3F" w:rsidRPr="00063D2B">
        <w:rPr>
          <w:rFonts w:cstheme="minorHAnsi"/>
          <w:b/>
          <w:bCs/>
        </w:rPr>
        <w:t>.</w:t>
      </w:r>
      <w:r w:rsidR="00917A3F" w:rsidRPr="00063D2B">
        <w:rPr>
          <w:rFonts w:cstheme="minorHAnsi"/>
        </w:rPr>
        <w:t xml:space="preserve"> Rafforzamento patrimoniale delle micro, piccole e medie imprese (MPMI) già costituite come società di capitali e che deliberano un aumento di capitale di almeno 30.000,00€</w:t>
      </w:r>
      <w:r w:rsidR="00DA6FD0">
        <w:rPr>
          <w:rFonts w:cstheme="minorHAnsi"/>
        </w:rPr>
        <w:t>.</w:t>
      </w:r>
    </w:p>
    <w:p w14:paraId="1961F053" w14:textId="1C94F9E5" w:rsidR="00917A3F" w:rsidRPr="00063D2B" w:rsidRDefault="00917A3F" w:rsidP="008767D3">
      <w:pPr>
        <w:spacing w:after="120" w:line="276" w:lineRule="auto"/>
        <w:jc w:val="both"/>
        <w:rPr>
          <w:rFonts w:eastAsia="Calibri" w:cstheme="minorHAnsi"/>
          <w:color w:val="000000"/>
          <w:u w:color="000000"/>
          <w:bdr w:val="nil"/>
          <w:lang w:eastAsia="it-IT"/>
        </w:rPr>
      </w:pPr>
      <w:r w:rsidRPr="00063D2B">
        <w:rPr>
          <w:rFonts w:eastAsia="Calibri" w:cstheme="minorHAnsi"/>
          <w:color w:val="000000"/>
          <w:u w:color="000000"/>
          <w:bdr w:val="nil"/>
          <w:lang w:eastAsia="it-IT"/>
        </w:rPr>
        <w:t>L’aumento di capitale rappresenta il prerequisito a cui segue l’investimento e il contributo regionale.</w:t>
      </w:r>
      <w:r w:rsidR="005F4A43">
        <w:rPr>
          <w:rFonts w:eastAsia="Calibri" w:cstheme="minorHAnsi"/>
          <w:color w:val="000000"/>
          <w:u w:color="000000"/>
          <w:bdr w:val="nil"/>
          <w:lang w:eastAsia="it-IT"/>
        </w:rPr>
        <w:t xml:space="preserve"> </w:t>
      </w:r>
      <w:r w:rsidRPr="00063D2B">
        <w:rPr>
          <w:rFonts w:eastAsia="Calibri" w:cstheme="minorHAnsi"/>
          <w:color w:val="000000"/>
          <w:u w:color="000000"/>
          <w:bdr w:val="nil"/>
          <w:lang w:eastAsia="it-IT"/>
        </w:rPr>
        <w:t xml:space="preserve">L’importo dell’investimento da realizzare </w:t>
      </w:r>
      <w:r w:rsidR="00CB2B1F">
        <w:rPr>
          <w:rFonts w:eastAsia="Calibri" w:cstheme="minorHAnsi"/>
          <w:color w:val="000000"/>
          <w:u w:color="000000"/>
          <w:bdr w:val="nil"/>
          <w:lang w:eastAsia="it-IT"/>
        </w:rPr>
        <w:t>deve essere</w:t>
      </w:r>
      <w:r w:rsidRPr="00063D2B">
        <w:rPr>
          <w:rFonts w:eastAsia="Calibri" w:cstheme="minorHAnsi"/>
          <w:color w:val="000000"/>
          <w:u w:color="000000"/>
          <w:bdr w:val="nil"/>
          <w:lang w:eastAsia="it-IT"/>
        </w:rPr>
        <w:t xml:space="preserve"> almeno pari all’importo dell’aumento di capitale deliberato e versato. Per fare fronte alla quota di investimento eccedente l’aumento di capitale fino a copertura dell’intero investimento, l’impresa </w:t>
      </w:r>
      <w:r w:rsidR="0082034D">
        <w:rPr>
          <w:rFonts w:eastAsia="Calibri" w:cstheme="minorHAnsi"/>
          <w:color w:val="000000"/>
          <w:u w:color="000000"/>
          <w:bdr w:val="nil"/>
          <w:lang w:eastAsia="it-IT"/>
        </w:rPr>
        <w:t>può utilizzare</w:t>
      </w:r>
      <w:r w:rsidRPr="00063D2B">
        <w:rPr>
          <w:rFonts w:eastAsia="Calibri" w:cstheme="minorHAnsi"/>
          <w:color w:val="000000"/>
          <w:u w:color="000000"/>
          <w:bdr w:val="nil"/>
          <w:lang w:eastAsia="it-IT"/>
        </w:rPr>
        <w:t xml:space="preserve"> risorse proprie e/o richiedere un finanziamento bancario a condizioni di mercato.</w:t>
      </w:r>
      <w:r w:rsidR="005F4A43">
        <w:rPr>
          <w:rFonts w:eastAsia="Calibri" w:cstheme="minorHAnsi"/>
          <w:color w:val="000000"/>
          <w:u w:color="000000"/>
          <w:bdr w:val="nil"/>
          <w:lang w:eastAsia="it-IT"/>
        </w:rPr>
        <w:t xml:space="preserve"> </w:t>
      </w:r>
      <w:r w:rsidRPr="00063D2B">
        <w:rPr>
          <w:rFonts w:eastAsia="Calibri" w:cstheme="minorHAnsi"/>
          <w:color w:val="000000"/>
          <w:u w:color="000000"/>
          <w:bdr w:val="nil"/>
          <w:lang w:eastAsia="it-IT"/>
        </w:rPr>
        <w:t xml:space="preserve">Gli investimenti </w:t>
      </w:r>
      <w:r w:rsidR="005F4A43">
        <w:rPr>
          <w:rFonts w:eastAsia="Calibri" w:cstheme="minorHAnsi"/>
          <w:color w:val="000000"/>
          <w:u w:color="000000"/>
          <w:bdr w:val="nil"/>
          <w:lang w:eastAsia="it-IT"/>
        </w:rPr>
        <w:t>devono</w:t>
      </w:r>
      <w:r w:rsidRPr="00063D2B">
        <w:rPr>
          <w:rFonts w:eastAsia="Calibri" w:cstheme="minorHAnsi"/>
          <w:color w:val="000000"/>
          <w:u w:color="000000"/>
          <w:bdr w:val="nil"/>
          <w:lang w:eastAsia="it-IT"/>
        </w:rPr>
        <w:t xml:space="preserve"> essere effettuati entro </w:t>
      </w:r>
      <w:r w:rsidRPr="008E1984">
        <w:rPr>
          <w:rFonts w:eastAsia="Calibri" w:cstheme="minorHAnsi"/>
          <w:i/>
          <w:iCs/>
          <w:color w:val="000000"/>
          <w:u w:color="000000"/>
          <w:bdr w:val="nil"/>
          <w:lang w:eastAsia="it-IT"/>
        </w:rPr>
        <w:t>12 mesi</w:t>
      </w:r>
      <w:r w:rsidRPr="005F4A43">
        <w:rPr>
          <w:rFonts w:eastAsia="Calibri" w:cstheme="minorHAnsi"/>
          <w:color w:val="000000"/>
          <w:u w:color="000000"/>
          <w:bdr w:val="nil"/>
          <w:lang w:eastAsia="it-IT"/>
        </w:rPr>
        <w:t xml:space="preserve"> </w:t>
      </w:r>
      <w:r w:rsidRPr="00063D2B">
        <w:rPr>
          <w:rFonts w:eastAsia="Calibri" w:cstheme="minorHAnsi"/>
          <w:color w:val="000000"/>
          <w:u w:color="000000"/>
          <w:bdr w:val="nil"/>
          <w:lang w:eastAsia="it-IT"/>
        </w:rPr>
        <w:t>dalla data comunicazione di concessione del contributo.</w:t>
      </w:r>
      <w:r w:rsidR="004965E2" w:rsidRPr="00063D2B">
        <w:rPr>
          <w:rFonts w:eastAsia="Calibri" w:cstheme="minorHAnsi"/>
          <w:color w:val="000000"/>
          <w:u w:color="000000"/>
          <w:bdr w:val="nil"/>
          <w:lang w:eastAsia="it-IT"/>
        </w:rPr>
        <w:t xml:space="preserve"> </w:t>
      </w:r>
      <w:r w:rsidRPr="00063D2B">
        <w:rPr>
          <w:rFonts w:eastAsia="Calibri" w:cstheme="minorHAnsi"/>
          <w:color w:val="000000"/>
          <w:u w:color="000000"/>
          <w:bdr w:val="nil"/>
          <w:lang w:eastAsia="it-IT"/>
        </w:rPr>
        <w:t>La documentazione attestante l’avvenuta trasformazione, l’avvenuto aumento e versamento del capitale sociale deve essere trasmessa entro i 60 giorni dalla comunicazione della concessione del contributo.</w:t>
      </w:r>
    </w:p>
    <w:p w14:paraId="4F2BD856" w14:textId="3070F726" w:rsidR="005B1BC4" w:rsidRPr="00063D2B" w:rsidRDefault="005B1BC4" w:rsidP="008767D3">
      <w:pPr>
        <w:autoSpaceDE w:val="0"/>
        <w:autoSpaceDN w:val="0"/>
        <w:adjustRightInd w:val="0"/>
        <w:spacing w:after="120" w:line="276" w:lineRule="auto"/>
        <w:jc w:val="both"/>
        <w:rPr>
          <w:rFonts w:cstheme="minorHAnsi"/>
          <w:bCs/>
          <w:iCs/>
        </w:rPr>
      </w:pPr>
      <w:bookmarkStart w:id="10" w:name="_Toc173310466"/>
      <w:r w:rsidRPr="00063D2B">
        <w:rPr>
          <w:rFonts w:cstheme="minorHAnsi"/>
          <w:b/>
          <w:color w:val="2F5496" w:themeColor="accent1" w:themeShade="BF"/>
        </w:rPr>
        <w:t>Finanziamento agevolato a sostegno dell’investimento</w:t>
      </w:r>
      <w:bookmarkEnd w:id="10"/>
      <w:r w:rsidR="008E1984">
        <w:rPr>
          <w:rFonts w:cstheme="minorHAnsi"/>
          <w:b/>
          <w:color w:val="2F5496" w:themeColor="accent1" w:themeShade="BF"/>
        </w:rPr>
        <w:t xml:space="preserve">. </w:t>
      </w:r>
      <w:r w:rsidRPr="00063D2B">
        <w:rPr>
          <w:rFonts w:cstheme="minorHAnsi"/>
          <w:bCs/>
          <w:iCs/>
        </w:rPr>
        <w:t xml:space="preserve">L’impresa, al fine di sostenere l’investimento connesso all’aumento di capitale, deve richiedere un finanziamento bancario a medio-lungo termine di durata non inferiore ai </w:t>
      </w:r>
      <w:r w:rsidRPr="00F30DF6">
        <w:rPr>
          <w:rFonts w:cstheme="minorHAnsi"/>
          <w:bCs/>
          <w:iCs/>
          <w:u w:val="single"/>
        </w:rPr>
        <w:t>36 mesi</w:t>
      </w:r>
      <w:r w:rsidRPr="00063D2B">
        <w:rPr>
          <w:rFonts w:cstheme="minorHAnsi"/>
          <w:bCs/>
          <w:iCs/>
        </w:rPr>
        <w:t>, con le seguenti caratteristiche:</w:t>
      </w:r>
    </w:p>
    <w:p w14:paraId="6BFF4348" w14:textId="07FC24C3" w:rsidR="00B0374A" w:rsidRPr="000E3D34" w:rsidRDefault="005B1BC4" w:rsidP="008767D3">
      <w:pPr>
        <w:numPr>
          <w:ilvl w:val="0"/>
          <w:numId w:val="31"/>
        </w:numPr>
        <w:autoSpaceDE w:val="0"/>
        <w:autoSpaceDN w:val="0"/>
        <w:adjustRightInd w:val="0"/>
        <w:spacing w:after="120" w:line="276" w:lineRule="auto"/>
        <w:ind w:left="714" w:hanging="357"/>
        <w:contextualSpacing/>
        <w:jc w:val="both"/>
        <w:rPr>
          <w:rFonts w:cstheme="minorHAnsi"/>
          <w:bCs/>
          <w:iCs/>
        </w:rPr>
      </w:pPr>
      <w:r w:rsidRPr="000E3D34">
        <w:rPr>
          <w:rFonts w:cstheme="minorHAnsi"/>
          <w:bCs/>
          <w:iCs/>
        </w:rPr>
        <w:t>Importo pari a</w:t>
      </w:r>
    </w:p>
    <w:p w14:paraId="287A3199" w14:textId="6F1B02B6" w:rsidR="00B0374A" w:rsidRPr="000E3D34" w:rsidRDefault="00B0374A" w:rsidP="00B0374A">
      <w:pPr>
        <w:numPr>
          <w:ilvl w:val="1"/>
          <w:numId w:val="31"/>
        </w:numPr>
        <w:autoSpaceDE w:val="0"/>
        <w:autoSpaceDN w:val="0"/>
        <w:adjustRightInd w:val="0"/>
        <w:spacing w:after="120" w:line="276" w:lineRule="auto"/>
        <w:contextualSpacing/>
        <w:jc w:val="both"/>
        <w:rPr>
          <w:rFonts w:cstheme="minorHAnsi"/>
          <w:bCs/>
          <w:iCs/>
        </w:rPr>
      </w:pPr>
      <w:r w:rsidRPr="00516367">
        <w:rPr>
          <w:rFonts w:cstheme="minorHAnsi"/>
          <w:bCs/>
          <w:iCs/>
          <w:u w:val="single"/>
        </w:rPr>
        <w:t xml:space="preserve">75% del valore dell’aumento di </w:t>
      </w:r>
      <w:r w:rsidRPr="000E3D34">
        <w:rPr>
          <w:rFonts w:cstheme="minorHAnsi"/>
          <w:bCs/>
          <w:iCs/>
          <w:u w:val="single"/>
        </w:rPr>
        <w:t>capitale</w:t>
      </w:r>
      <w:r w:rsidRPr="000E3D34">
        <w:rPr>
          <w:rFonts w:cstheme="minorHAnsi"/>
          <w:bCs/>
          <w:iCs/>
        </w:rPr>
        <w:t>, nel caso di operazioni rientranti nella linea A</w:t>
      </w:r>
      <w:r w:rsidR="005457AB" w:rsidRPr="000E3D34">
        <w:rPr>
          <w:rFonts w:cstheme="minorHAnsi"/>
          <w:bCs/>
          <w:iCs/>
        </w:rPr>
        <w:t>, da effettuare al netto del contributo regionale in c/investimenti (esempio nella tabella di cui al paragrafo “SIMULAZIONI ED EFFETTO LEVA”).</w:t>
      </w:r>
    </w:p>
    <w:p w14:paraId="601734A1" w14:textId="574C234B" w:rsidR="005B1BC4" w:rsidRPr="000E3D34" w:rsidRDefault="005B1BC4" w:rsidP="000E3D34">
      <w:pPr>
        <w:numPr>
          <w:ilvl w:val="1"/>
          <w:numId w:val="31"/>
        </w:numPr>
        <w:autoSpaceDE w:val="0"/>
        <w:autoSpaceDN w:val="0"/>
        <w:adjustRightInd w:val="0"/>
        <w:spacing w:after="120" w:line="276" w:lineRule="auto"/>
        <w:contextualSpacing/>
        <w:jc w:val="both"/>
        <w:rPr>
          <w:rFonts w:cstheme="minorHAnsi"/>
          <w:bCs/>
          <w:iCs/>
        </w:rPr>
      </w:pPr>
      <w:r w:rsidRPr="000E3D34">
        <w:rPr>
          <w:rFonts w:cstheme="minorHAnsi"/>
          <w:iCs/>
          <w:u w:val="single"/>
        </w:rPr>
        <w:t>50% del valore dell’aumento di capitale</w:t>
      </w:r>
      <w:r w:rsidR="00B0374A" w:rsidRPr="000E3D34">
        <w:rPr>
          <w:rFonts w:cstheme="minorHAnsi"/>
          <w:bCs/>
          <w:iCs/>
        </w:rPr>
        <w:t xml:space="preserve">, nel caso di operazioni rientranti nella linea </w:t>
      </w:r>
      <w:r w:rsidR="005457AB" w:rsidRPr="000E3D34">
        <w:rPr>
          <w:rFonts w:cstheme="minorHAnsi"/>
          <w:bCs/>
          <w:iCs/>
        </w:rPr>
        <w:t>B</w:t>
      </w:r>
      <w:r w:rsidR="00B0374A" w:rsidRPr="000E3D34">
        <w:rPr>
          <w:rFonts w:cstheme="minorHAnsi"/>
          <w:bCs/>
          <w:iCs/>
        </w:rPr>
        <w:t xml:space="preserve">, </w:t>
      </w:r>
      <w:r w:rsidRPr="000E3D34">
        <w:rPr>
          <w:rFonts w:cstheme="minorHAnsi"/>
          <w:bCs/>
          <w:iCs/>
        </w:rPr>
        <w:t>da effettuare al netto del contributo regionale in c/investimenti</w:t>
      </w:r>
      <w:r w:rsidR="005457AB" w:rsidRPr="000E3D34">
        <w:rPr>
          <w:rFonts w:cstheme="minorHAnsi"/>
          <w:bCs/>
          <w:iCs/>
        </w:rPr>
        <w:t xml:space="preserve"> (esempio nella tabella di cui al paragrafo “</w:t>
      </w:r>
      <w:r w:rsidR="005457AB" w:rsidRPr="008821A7">
        <w:rPr>
          <w:rFonts w:cstheme="minorHAnsi"/>
          <w:bCs/>
          <w:iCs/>
        </w:rPr>
        <w:t>SIMULAZIONI ED EFFETTO LEVA”</w:t>
      </w:r>
      <w:r w:rsidR="005457AB" w:rsidRPr="000E3D34">
        <w:rPr>
          <w:rFonts w:cstheme="minorHAnsi"/>
          <w:bCs/>
          <w:iCs/>
        </w:rPr>
        <w:t>)</w:t>
      </w:r>
      <w:r w:rsidRPr="000E3D34">
        <w:rPr>
          <w:rFonts w:cstheme="minorHAnsi"/>
          <w:bCs/>
          <w:iCs/>
        </w:rPr>
        <w:t>.</w:t>
      </w:r>
    </w:p>
    <w:p w14:paraId="754AF913" w14:textId="77777777" w:rsidR="005B1BC4" w:rsidRPr="00063D2B" w:rsidRDefault="005B1BC4" w:rsidP="008767D3">
      <w:pPr>
        <w:numPr>
          <w:ilvl w:val="0"/>
          <w:numId w:val="31"/>
        </w:numPr>
        <w:autoSpaceDE w:val="0"/>
        <w:autoSpaceDN w:val="0"/>
        <w:adjustRightInd w:val="0"/>
        <w:spacing w:after="120" w:line="276" w:lineRule="auto"/>
        <w:ind w:left="714" w:hanging="357"/>
        <w:jc w:val="both"/>
        <w:rPr>
          <w:rFonts w:cstheme="minorHAnsi"/>
          <w:bCs/>
          <w:iCs/>
        </w:rPr>
      </w:pPr>
      <w:r w:rsidRPr="00063D2B">
        <w:rPr>
          <w:rFonts w:cstheme="minorHAnsi"/>
          <w:bCs/>
          <w:iCs/>
        </w:rPr>
        <w:t xml:space="preserve">Durata massima </w:t>
      </w:r>
      <w:r w:rsidRPr="008E1984">
        <w:rPr>
          <w:rFonts w:cstheme="minorHAnsi"/>
          <w:iCs/>
          <w:u w:val="single"/>
        </w:rPr>
        <w:t>72 mesi</w:t>
      </w:r>
      <w:r w:rsidRPr="00063D2B">
        <w:rPr>
          <w:rFonts w:cstheme="minorHAnsi"/>
          <w:bCs/>
          <w:iCs/>
        </w:rPr>
        <w:t>, di cui massimo 12 di preammortamento;</w:t>
      </w:r>
    </w:p>
    <w:p w14:paraId="58424004" w14:textId="494A14CA" w:rsidR="005B1BC4" w:rsidRDefault="005B1BC4" w:rsidP="008767D3">
      <w:pPr>
        <w:autoSpaceDE w:val="0"/>
        <w:autoSpaceDN w:val="0"/>
        <w:adjustRightInd w:val="0"/>
        <w:spacing w:after="120" w:line="276" w:lineRule="auto"/>
        <w:jc w:val="both"/>
        <w:rPr>
          <w:rFonts w:cstheme="minorHAnsi"/>
          <w:bCs/>
          <w:iCs/>
        </w:rPr>
      </w:pPr>
      <w:r w:rsidRPr="00063D2B">
        <w:rPr>
          <w:rFonts w:cstheme="minorHAnsi"/>
          <w:bCs/>
          <w:iCs/>
        </w:rPr>
        <w:t xml:space="preserve">L’operazione di finanziamento deve essere richiesta dalle imprese e deliberate dalle Banche e dai Confidi di 1° grado in data successiva a quella di sottoscrizione del Contratto istitutivo del Fondo </w:t>
      </w:r>
      <w:r w:rsidR="00B7612E">
        <w:rPr>
          <w:rFonts w:cstheme="minorHAnsi"/>
          <w:bCs/>
          <w:iCs/>
        </w:rPr>
        <w:t xml:space="preserve">Nuovo </w:t>
      </w:r>
      <w:r w:rsidRPr="00063D2B">
        <w:rPr>
          <w:rFonts w:cstheme="minorHAnsi"/>
          <w:bCs/>
          <w:iCs/>
        </w:rPr>
        <w:t>Credito PATRIMONIO PMI tra la Regione Marche e il Soggetto Gestore.</w:t>
      </w:r>
    </w:p>
    <w:p w14:paraId="2FE65957" w14:textId="22A3D86F" w:rsidR="00F30DF6" w:rsidRPr="00F30DF6" w:rsidRDefault="00F30DF6" w:rsidP="00341060">
      <w:pPr>
        <w:autoSpaceDE w:val="0"/>
        <w:autoSpaceDN w:val="0"/>
        <w:adjustRightInd w:val="0"/>
        <w:spacing w:after="120" w:line="276" w:lineRule="auto"/>
        <w:jc w:val="both"/>
        <w:rPr>
          <w:rFonts w:cstheme="minorHAnsi"/>
          <w:bCs/>
          <w:iCs/>
        </w:rPr>
      </w:pPr>
      <w:r w:rsidRPr="00F30DF6">
        <w:rPr>
          <w:rFonts w:cstheme="minorHAnsi"/>
          <w:b/>
          <w:color w:val="2F5496" w:themeColor="accent1" w:themeShade="BF"/>
        </w:rPr>
        <w:t>Durata, caratteristiche dell’intervento e tipologia di agevolazione</w:t>
      </w:r>
      <w:r>
        <w:rPr>
          <w:rFonts w:cstheme="minorHAnsi"/>
          <w:bCs/>
          <w:iCs/>
        </w:rPr>
        <w:t xml:space="preserve">. </w:t>
      </w:r>
      <w:r w:rsidRPr="00F30DF6">
        <w:rPr>
          <w:rFonts w:cstheme="minorHAnsi"/>
          <w:bCs/>
          <w:iCs/>
        </w:rPr>
        <w:t xml:space="preserve">La durata del Fondo </w:t>
      </w:r>
      <w:r w:rsidR="00B7612E">
        <w:rPr>
          <w:rFonts w:cstheme="minorHAnsi"/>
          <w:bCs/>
          <w:iCs/>
        </w:rPr>
        <w:t xml:space="preserve">Nuovo </w:t>
      </w:r>
      <w:r w:rsidRPr="00F30DF6">
        <w:rPr>
          <w:rFonts w:cstheme="minorHAnsi"/>
          <w:bCs/>
          <w:iCs/>
        </w:rPr>
        <w:t>Credito PATRIMONIO PMI è di 48 mesi, a decorrere dalla trasmissione da parte della Regione dell’Autorizzazione all’avvio del servizio, ai sensi dell’articolo 10 dell’Accordo quadro; tale durata può essere prolungata di comune accordo tra le parti e comunque non può superare il termine del 31 dicembre 2029.</w:t>
      </w:r>
    </w:p>
    <w:p w14:paraId="5C990CF6" w14:textId="5BF863ED" w:rsidR="00F30DF6" w:rsidRDefault="00F30DF6" w:rsidP="00341060">
      <w:pPr>
        <w:autoSpaceDE w:val="0"/>
        <w:autoSpaceDN w:val="0"/>
        <w:adjustRightInd w:val="0"/>
        <w:spacing w:after="120" w:line="276" w:lineRule="auto"/>
        <w:jc w:val="both"/>
        <w:rPr>
          <w:rFonts w:cstheme="minorHAnsi"/>
          <w:bCs/>
          <w:iCs/>
        </w:rPr>
      </w:pPr>
      <w:r w:rsidRPr="00F30DF6">
        <w:rPr>
          <w:rFonts w:cstheme="minorHAnsi"/>
          <w:bCs/>
          <w:iCs/>
        </w:rPr>
        <w:t xml:space="preserve">L’intervento è costituito da un </w:t>
      </w:r>
      <w:r w:rsidRPr="00F30DF6">
        <w:rPr>
          <w:rFonts w:cstheme="minorHAnsi"/>
          <w:bCs/>
          <w:i/>
        </w:rPr>
        <w:t>contributo a fondo perduto in c/investimenti</w:t>
      </w:r>
      <w:r w:rsidRPr="00F30DF6">
        <w:rPr>
          <w:rFonts w:cstheme="minorHAnsi"/>
          <w:bCs/>
          <w:iCs/>
        </w:rPr>
        <w:t xml:space="preserve"> associato a uno </w:t>
      </w:r>
      <w:r w:rsidRPr="00F30DF6">
        <w:rPr>
          <w:rFonts w:cstheme="minorHAnsi"/>
          <w:bCs/>
          <w:i/>
        </w:rPr>
        <w:t>Strumento Finanziario (SF)</w:t>
      </w:r>
      <w:r>
        <w:rPr>
          <w:rFonts w:cstheme="minorHAnsi"/>
          <w:bCs/>
          <w:iCs/>
        </w:rPr>
        <w:t xml:space="preserve"> </w:t>
      </w:r>
      <w:r w:rsidRPr="00F30DF6">
        <w:rPr>
          <w:rFonts w:cstheme="minorHAnsi"/>
          <w:bCs/>
          <w:iCs/>
        </w:rPr>
        <w:t xml:space="preserve">che interviene indirettamente tramite </w:t>
      </w:r>
      <w:r w:rsidRPr="00F30DF6">
        <w:rPr>
          <w:rFonts w:cstheme="minorHAnsi"/>
          <w:bCs/>
          <w:i/>
        </w:rPr>
        <w:t>riassicurazione pubblica</w:t>
      </w:r>
      <w:r w:rsidRPr="00F30DF6">
        <w:rPr>
          <w:rFonts w:cstheme="minorHAnsi"/>
          <w:bCs/>
          <w:iCs/>
        </w:rPr>
        <w:t xml:space="preserve"> a titolo gratuito sul prestito </w:t>
      </w:r>
      <w:r w:rsidRPr="00F30DF6">
        <w:rPr>
          <w:rFonts w:cstheme="minorHAnsi"/>
          <w:bCs/>
          <w:iCs/>
        </w:rPr>
        <w:lastRenderedPageBreak/>
        <w:t xml:space="preserve">ottenuto dalla Banca, previo ottenimento di garanzia di primo grado concessa dai Confidi sul prestito medesimo, a cui è associato un ulteriore </w:t>
      </w:r>
      <w:r w:rsidRPr="00F30DF6">
        <w:rPr>
          <w:rFonts w:cstheme="minorHAnsi"/>
          <w:bCs/>
          <w:i/>
        </w:rPr>
        <w:t>contributo in c/interessi e c/oneri garanzia</w:t>
      </w:r>
      <w:r w:rsidRPr="00F30DF6">
        <w:rPr>
          <w:rFonts w:cstheme="minorHAnsi"/>
          <w:bCs/>
          <w:iCs/>
        </w:rPr>
        <w:t xml:space="preserve"> di 1° grado rilasciata dai Consorzi Fidi (Confidi), quale unica operazione ai sensi del Reg.to UE 2021/1060, articolo 58(5).</w:t>
      </w:r>
    </w:p>
    <w:p w14:paraId="42F23682" w14:textId="4382AB30" w:rsidR="00C7136C" w:rsidRPr="00F30DF6" w:rsidRDefault="00C7136C" w:rsidP="00C7136C">
      <w:pPr>
        <w:autoSpaceDE w:val="0"/>
        <w:autoSpaceDN w:val="0"/>
        <w:adjustRightInd w:val="0"/>
        <w:spacing w:after="120" w:line="276" w:lineRule="auto"/>
        <w:jc w:val="both"/>
        <w:rPr>
          <w:rFonts w:cstheme="minorHAnsi"/>
          <w:bCs/>
          <w:iCs/>
        </w:rPr>
      </w:pPr>
      <w:bookmarkStart w:id="11" w:name="_Toc173310469"/>
      <w:bookmarkStart w:id="12" w:name="_Toc173310468"/>
      <w:r>
        <w:rPr>
          <w:rFonts w:ascii="Helvetica" w:hAnsi="Helvetica" w:cstheme="minorHAnsi"/>
          <w:b/>
          <w:iCs/>
        </w:rPr>
        <w:sym w:font="Wingdings" w:char="F0E8"/>
      </w:r>
      <w:r>
        <w:rPr>
          <w:rFonts w:cstheme="minorHAnsi"/>
          <w:b/>
          <w:iCs/>
        </w:rPr>
        <w:t xml:space="preserve"> </w:t>
      </w:r>
      <w:r w:rsidRPr="00F30DF6">
        <w:rPr>
          <w:rFonts w:cstheme="minorHAnsi"/>
          <w:b/>
          <w:iCs/>
        </w:rPr>
        <w:t>Strumento finanziario</w:t>
      </w:r>
      <w:bookmarkEnd w:id="11"/>
      <w:r>
        <w:rPr>
          <w:rFonts w:cstheme="minorHAnsi"/>
          <w:bCs/>
          <w:i/>
          <w:iCs/>
        </w:rPr>
        <w:t xml:space="preserve">. </w:t>
      </w:r>
      <w:r w:rsidRPr="00F30DF6">
        <w:rPr>
          <w:rFonts w:cstheme="minorHAnsi"/>
          <w:bCs/>
          <w:iCs/>
        </w:rPr>
        <w:t>Sul finanziamento agevolato richiesto dall’impresa interviene uno strumento finanziario quale Fondo pubblico di riassicurazione su garanzia concessa da un Confidi di 1° grado:</w:t>
      </w:r>
      <w:r>
        <w:rPr>
          <w:rFonts w:cstheme="minorHAnsi"/>
          <w:bCs/>
          <w:iCs/>
        </w:rPr>
        <w:t xml:space="preserve"> i) p</w:t>
      </w:r>
      <w:r w:rsidRPr="00F30DF6">
        <w:rPr>
          <w:rFonts w:cstheme="minorHAnsi"/>
          <w:bCs/>
          <w:iCs/>
        </w:rPr>
        <w:t>ercentuale massima garanzia 1° grado</w:t>
      </w:r>
      <w:r>
        <w:rPr>
          <w:rFonts w:cstheme="minorHAnsi"/>
          <w:bCs/>
          <w:iCs/>
        </w:rPr>
        <w:t xml:space="preserve"> del</w:t>
      </w:r>
      <w:r w:rsidRPr="00F30DF6">
        <w:rPr>
          <w:rFonts w:cstheme="minorHAnsi"/>
          <w:bCs/>
          <w:iCs/>
        </w:rPr>
        <w:t xml:space="preserve"> 80%</w:t>
      </w:r>
      <w:r>
        <w:rPr>
          <w:rFonts w:cstheme="minorHAnsi"/>
          <w:bCs/>
          <w:iCs/>
        </w:rPr>
        <w:t>; ii) p</w:t>
      </w:r>
      <w:r w:rsidRPr="00F30DF6">
        <w:rPr>
          <w:rFonts w:cstheme="minorHAnsi"/>
          <w:bCs/>
          <w:iCs/>
        </w:rPr>
        <w:t>ercentuale garanzia Fondo pubblico di riassicurazione</w:t>
      </w:r>
      <w:r>
        <w:rPr>
          <w:rFonts w:cstheme="minorHAnsi"/>
          <w:bCs/>
          <w:iCs/>
        </w:rPr>
        <w:t xml:space="preserve"> del</w:t>
      </w:r>
      <w:r w:rsidRPr="00F30DF6">
        <w:rPr>
          <w:rFonts w:cstheme="minorHAnsi"/>
          <w:bCs/>
          <w:iCs/>
        </w:rPr>
        <w:t xml:space="preserve"> 70%</w:t>
      </w:r>
      <w:r>
        <w:rPr>
          <w:rFonts w:cstheme="minorHAnsi"/>
          <w:bCs/>
          <w:iCs/>
        </w:rPr>
        <w:t xml:space="preserve">. </w:t>
      </w:r>
      <w:r w:rsidR="003F2978">
        <w:rPr>
          <w:rFonts w:cstheme="minorHAnsi"/>
          <w:bCs/>
          <w:iCs/>
        </w:rPr>
        <w:t>È possibile prevedere una co-partecipazione con il Fondo Centrale di Garanzia ex lege 662/1996, nel qual caso</w:t>
      </w:r>
      <w:r w:rsidR="00BA1EA9">
        <w:rPr>
          <w:rFonts w:cstheme="minorHAnsi"/>
          <w:bCs/>
          <w:iCs/>
        </w:rPr>
        <w:t xml:space="preserve"> tali percentuali si riducono rispettivamente al 70% e al 10%.</w:t>
      </w:r>
    </w:p>
    <w:p w14:paraId="6121F17E" w14:textId="77777777" w:rsidR="00C7136C" w:rsidRPr="00F30DF6" w:rsidRDefault="00C7136C" w:rsidP="00C7136C">
      <w:pPr>
        <w:autoSpaceDE w:val="0"/>
        <w:autoSpaceDN w:val="0"/>
        <w:adjustRightInd w:val="0"/>
        <w:spacing w:after="120" w:line="276" w:lineRule="auto"/>
        <w:jc w:val="both"/>
        <w:rPr>
          <w:rFonts w:cstheme="minorHAnsi"/>
          <w:bCs/>
          <w:iCs/>
        </w:rPr>
      </w:pPr>
      <w:r w:rsidRPr="00F30DF6">
        <w:rPr>
          <w:rFonts w:cstheme="minorHAnsi"/>
          <w:bCs/>
          <w:iCs/>
        </w:rPr>
        <w:t xml:space="preserve">L’aiuto collegato allo </w:t>
      </w:r>
      <w:r>
        <w:rPr>
          <w:rFonts w:cstheme="minorHAnsi"/>
          <w:bCs/>
          <w:iCs/>
        </w:rPr>
        <w:t>SF</w:t>
      </w:r>
      <w:r w:rsidRPr="00F30DF6">
        <w:rPr>
          <w:rFonts w:cstheme="minorHAnsi"/>
          <w:bCs/>
          <w:iCs/>
        </w:rPr>
        <w:t xml:space="preserve"> verrà determinato in linea con la Decisione n. 4505 del 06/07/2010 della CE.</w:t>
      </w:r>
    </w:p>
    <w:p w14:paraId="7A7D89C0" w14:textId="197EDD2F" w:rsidR="00F30DF6" w:rsidRPr="00F30DF6" w:rsidRDefault="00690774" w:rsidP="00341060">
      <w:pPr>
        <w:autoSpaceDE w:val="0"/>
        <w:autoSpaceDN w:val="0"/>
        <w:adjustRightInd w:val="0"/>
        <w:spacing w:after="120" w:line="276" w:lineRule="auto"/>
        <w:jc w:val="both"/>
        <w:rPr>
          <w:rFonts w:cstheme="minorHAnsi"/>
          <w:bCs/>
          <w:iCs/>
        </w:rPr>
      </w:pPr>
      <w:bookmarkStart w:id="13" w:name="_Toc173310470"/>
      <w:bookmarkEnd w:id="12"/>
      <w:r>
        <w:rPr>
          <w:rFonts w:ascii="Helvetica" w:hAnsi="Helvetica" w:cstheme="minorHAnsi"/>
          <w:b/>
          <w:iCs/>
        </w:rPr>
        <w:sym w:font="Wingdings" w:char="F0E8"/>
      </w:r>
      <w:r w:rsidR="00341060">
        <w:rPr>
          <w:rFonts w:cstheme="minorHAnsi"/>
          <w:b/>
          <w:iCs/>
        </w:rPr>
        <w:t xml:space="preserve"> </w:t>
      </w:r>
      <w:r w:rsidR="00F30DF6" w:rsidRPr="00F30DF6">
        <w:rPr>
          <w:rFonts w:cstheme="minorHAnsi"/>
          <w:b/>
          <w:iCs/>
        </w:rPr>
        <w:t>Contributo in c/interessi e c/oneri garanzia</w:t>
      </w:r>
      <w:bookmarkEnd w:id="13"/>
      <w:r w:rsidR="00F30DF6">
        <w:rPr>
          <w:rFonts w:cstheme="minorHAnsi"/>
          <w:bCs/>
          <w:i/>
          <w:iCs/>
        </w:rPr>
        <w:t xml:space="preserve">. </w:t>
      </w:r>
      <w:r w:rsidR="00F30DF6" w:rsidRPr="00F30DF6">
        <w:rPr>
          <w:rFonts w:cstheme="minorHAnsi"/>
          <w:bCs/>
          <w:iCs/>
        </w:rPr>
        <w:t>Al Fondo PATRIMONIO PMI, associato al finanziamento agevolato, si aggiunge un contributo composto dalle due sottostanti voci:</w:t>
      </w:r>
    </w:p>
    <w:p w14:paraId="3D1A7992" w14:textId="77777777" w:rsidR="00F30DF6" w:rsidRPr="00F30DF6" w:rsidRDefault="00F30DF6" w:rsidP="00F30DF6">
      <w:pPr>
        <w:autoSpaceDE w:val="0"/>
        <w:autoSpaceDN w:val="0"/>
        <w:adjustRightInd w:val="0"/>
        <w:spacing w:after="120" w:line="276" w:lineRule="auto"/>
        <w:jc w:val="both"/>
        <w:rPr>
          <w:rFonts w:cstheme="minorHAnsi"/>
          <w:bCs/>
          <w:iCs/>
        </w:rPr>
      </w:pPr>
      <w:r w:rsidRPr="00F30DF6">
        <w:rPr>
          <w:rFonts w:cstheme="minorHAnsi"/>
          <w:bCs/>
          <w:iCs/>
          <w:u w:val="single"/>
        </w:rPr>
        <w:t>B.1 Interessi</w:t>
      </w:r>
      <w:r w:rsidRPr="00F30DF6">
        <w:rPr>
          <w:rFonts w:cstheme="minorHAnsi"/>
          <w:bCs/>
          <w:iCs/>
        </w:rPr>
        <w:t>:</w:t>
      </w:r>
    </w:p>
    <w:p w14:paraId="3BB6A264" w14:textId="77777777" w:rsidR="00F30DF6" w:rsidRPr="00F30DF6" w:rsidRDefault="00F30DF6" w:rsidP="00341060">
      <w:pPr>
        <w:numPr>
          <w:ilvl w:val="0"/>
          <w:numId w:val="35"/>
        </w:numPr>
        <w:autoSpaceDE w:val="0"/>
        <w:autoSpaceDN w:val="0"/>
        <w:adjustRightInd w:val="0"/>
        <w:spacing w:after="120" w:line="276" w:lineRule="auto"/>
        <w:ind w:left="714" w:hanging="357"/>
        <w:contextualSpacing/>
        <w:jc w:val="both"/>
        <w:rPr>
          <w:rFonts w:cstheme="minorHAnsi"/>
          <w:iCs/>
        </w:rPr>
      </w:pPr>
      <w:r w:rsidRPr="00F30DF6">
        <w:rPr>
          <w:rFonts w:cstheme="minorHAnsi"/>
          <w:bCs/>
          <w:iCs/>
        </w:rPr>
        <w:t xml:space="preserve">la sovvenzione prevede una riduzione del tasso nominale annuo del 2,5% (riduzione di 250 </w:t>
      </w:r>
      <w:proofErr w:type="spellStart"/>
      <w:r w:rsidRPr="00F30DF6">
        <w:rPr>
          <w:rFonts w:cstheme="minorHAnsi"/>
          <w:bCs/>
          <w:iCs/>
        </w:rPr>
        <w:t>bp</w:t>
      </w:r>
      <w:proofErr w:type="spellEnd"/>
      <w:r w:rsidRPr="00F30DF6">
        <w:rPr>
          <w:rFonts w:cstheme="minorHAnsi"/>
          <w:bCs/>
          <w:iCs/>
        </w:rPr>
        <w:t xml:space="preserve">), con un massimale </w:t>
      </w:r>
      <w:r w:rsidRPr="00F30DF6">
        <w:rPr>
          <w:rFonts w:cstheme="minorHAnsi"/>
          <w:iCs/>
        </w:rPr>
        <w:t>di € 6.000,00;</w:t>
      </w:r>
    </w:p>
    <w:p w14:paraId="6880B3B0" w14:textId="77777777" w:rsidR="00F30DF6" w:rsidRPr="00F30DF6" w:rsidRDefault="00F30DF6" w:rsidP="00341060">
      <w:pPr>
        <w:numPr>
          <w:ilvl w:val="0"/>
          <w:numId w:val="35"/>
        </w:numPr>
        <w:autoSpaceDE w:val="0"/>
        <w:autoSpaceDN w:val="0"/>
        <w:adjustRightInd w:val="0"/>
        <w:spacing w:after="120" w:line="276" w:lineRule="auto"/>
        <w:ind w:left="714" w:hanging="357"/>
        <w:contextualSpacing/>
        <w:jc w:val="both"/>
        <w:rPr>
          <w:rFonts w:cstheme="minorHAnsi"/>
          <w:bCs/>
          <w:iCs/>
        </w:rPr>
      </w:pPr>
      <w:r w:rsidRPr="00F30DF6">
        <w:rPr>
          <w:rFonts w:cstheme="minorHAnsi"/>
          <w:bCs/>
          <w:iCs/>
        </w:rPr>
        <w:t>in caso di tasso nominale annuo inferiore al numero di punti base di cui al punto precedente, la riduzione è limitata al tasso nominale annuo stesso;</w:t>
      </w:r>
    </w:p>
    <w:p w14:paraId="2C7A4D37" w14:textId="77777777" w:rsidR="00F30DF6" w:rsidRPr="00F30DF6" w:rsidRDefault="00F30DF6" w:rsidP="00341060">
      <w:pPr>
        <w:numPr>
          <w:ilvl w:val="0"/>
          <w:numId w:val="35"/>
        </w:numPr>
        <w:autoSpaceDE w:val="0"/>
        <w:autoSpaceDN w:val="0"/>
        <w:adjustRightInd w:val="0"/>
        <w:spacing w:after="120" w:line="276" w:lineRule="auto"/>
        <w:ind w:left="714" w:hanging="357"/>
        <w:contextualSpacing/>
        <w:jc w:val="both"/>
        <w:rPr>
          <w:rFonts w:cstheme="minorHAnsi"/>
          <w:bCs/>
          <w:iCs/>
        </w:rPr>
      </w:pPr>
      <w:r w:rsidRPr="00F30DF6">
        <w:rPr>
          <w:rFonts w:cstheme="minorHAnsi"/>
          <w:bCs/>
          <w:iCs/>
        </w:rPr>
        <w:t>interessi a tasso fisso, nel rispetto del principio degli Aiuti trasparenti (Reg. UE n. 1407/2013, art. 4, comma 1 / Reg. UE 651/2014, art. 5, comma 1)</w:t>
      </w:r>
    </w:p>
    <w:p w14:paraId="6AF10E7F" w14:textId="77777777" w:rsidR="00F30DF6" w:rsidRPr="00F30DF6" w:rsidRDefault="00F30DF6" w:rsidP="00341060">
      <w:pPr>
        <w:numPr>
          <w:ilvl w:val="0"/>
          <w:numId w:val="35"/>
        </w:numPr>
        <w:autoSpaceDE w:val="0"/>
        <w:autoSpaceDN w:val="0"/>
        <w:adjustRightInd w:val="0"/>
        <w:spacing w:after="120" w:line="276" w:lineRule="auto"/>
        <w:ind w:left="714" w:hanging="357"/>
        <w:jc w:val="both"/>
        <w:rPr>
          <w:rFonts w:cstheme="minorHAnsi"/>
          <w:bCs/>
          <w:iCs/>
        </w:rPr>
      </w:pPr>
      <w:r w:rsidRPr="00F30DF6">
        <w:rPr>
          <w:rFonts w:cstheme="minorHAnsi"/>
          <w:bCs/>
          <w:iCs/>
        </w:rPr>
        <w:t>calcolo della sovvenzione in linea con la Comunicazione della Commissione relativa alla revisione del metodo di fissazione dei tassi di riferimento e di attualizzazione (2008/C 14/02)</w:t>
      </w:r>
    </w:p>
    <w:p w14:paraId="12ACF939" w14:textId="77777777" w:rsidR="00F30DF6" w:rsidRPr="00F30DF6" w:rsidRDefault="00F30DF6" w:rsidP="00F30DF6">
      <w:pPr>
        <w:autoSpaceDE w:val="0"/>
        <w:autoSpaceDN w:val="0"/>
        <w:adjustRightInd w:val="0"/>
        <w:spacing w:after="120" w:line="276" w:lineRule="auto"/>
        <w:jc w:val="both"/>
        <w:rPr>
          <w:rFonts w:cstheme="minorHAnsi"/>
          <w:bCs/>
          <w:iCs/>
        </w:rPr>
      </w:pPr>
      <w:r w:rsidRPr="00F30DF6">
        <w:rPr>
          <w:rFonts w:cstheme="minorHAnsi"/>
          <w:bCs/>
          <w:iCs/>
          <w:u w:val="single"/>
        </w:rPr>
        <w:t>B.2 Oneri garanzia (Confidi 1° grado)</w:t>
      </w:r>
      <w:r w:rsidRPr="00F30DF6">
        <w:rPr>
          <w:rFonts w:cstheme="minorHAnsi"/>
          <w:bCs/>
          <w:iCs/>
        </w:rPr>
        <w:t>:</w:t>
      </w:r>
    </w:p>
    <w:p w14:paraId="10E1C94A" w14:textId="77777777" w:rsidR="00F30DF6" w:rsidRPr="00F30DF6" w:rsidRDefault="00F30DF6" w:rsidP="00341060">
      <w:pPr>
        <w:numPr>
          <w:ilvl w:val="0"/>
          <w:numId w:val="36"/>
        </w:numPr>
        <w:autoSpaceDE w:val="0"/>
        <w:autoSpaceDN w:val="0"/>
        <w:adjustRightInd w:val="0"/>
        <w:spacing w:after="120" w:line="276" w:lineRule="auto"/>
        <w:ind w:left="714" w:hanging="357"/>
        <w:contextualSpacing/>
        <w:jc w:val="both"/>
        <w:rPr>
          <w:rFonts w:cstheme="minorHAnsi"/>
          <w:bCs/>
          <w:iCs/>
        </w:rPr>
      </w:pPr>
      <w:r w:rsidRPr="00F30DF6">
        <w:rPr>
          <w:rFonts w:cstheme="minorHAnsi"/>
          <w:bCs/>
          <w:iCs/>
        </w:rPr>
        <w:t xml:space="preserve">La sovvenzione è pari al 100% sia della Commissione di garanzia del Confidi di 1° grado (la Commissione di garanzia deve essere fissata obbligatoriamente allo 0,60% annuo dell’importo nominale della garanzia di 1° grado), sia degli altri oneri del Confidi di 1° grado, ad esclusione di quelli potenzialmente recuperabili dall’impresa (quote/cauzioni e similari); </w:t>
      </w:r>
    </w:p>
    <w:p w14:paraId="40F3DD98" w14:textId="4CD84284" w:rsidR="00F30DF6" w:rsidRDefault="00F30DF6" w:rsidP="00341060">
      <w:pPr>
        <w:numPr>
          <w:ilvl w:val="0"/>
          <w:numId w:val="36"/>
        </w:numPr>
        <w:autoSpaceDE w:val="0"/>
        <w:autoSpaceDN w:val="0"/>
        <w:adjustRightInd w:val="0"/>
        <w:spacing w:after="120" w:line="276" w:lineRule="auto"/>
        <w:ind w:left="714" w:hanging="357"/>
        <w:jc w:val="both"/>
        <w:rPr>
          <w:rFonts w:cstheme="minorHAnsi"/>
          <w:bCs/>
          <w:iCs/>
        </w:rPr>
      </w:pPr>
      <w:r w:rsidRPr="00F30DF6">
        <w:rPr>
          <w:rFonts w:cstheme="minorHAnsi"/>
          <w:bCs/>
          <w:iCs/>
        </w:rPr>
        <w:t xml:space="preserve">In ogni caso, la sovvenzione, come calcolata al punto precedente, non può eccedere l’importo </w:t>
      </w:r>
      <w:r w:rsidRPr="00F30DF6">
        <w:rPr>
          <w:rFonts w:cstheme="minorHAnsi"/>
          <w:b/>
          <w:bCs/>
          <w:iCs/>
        </w:rPr>
        <w:t xml:space="preserve">di </w:t>
      </w:r>
      <w:r w:rsidRPr="00F30DF6">
        <w:rPr>
          <w:rFonts w:cstheme="minorHAnsi"/>
          <w:iCs/>
        </w:rPr>
        <w:t xml:space="preserve">€ 5.000,00 </w:t>
      </w:r>
      <w:r w:rsidRPr="00F30DF6">
        <w:rPr>
          <w:rFonts w:cstheme="minorHAnsi"/>
          <w:bCs/>
          <w:iCs/>
        </w:rPr>
        <w:t>e gli oneri applicati dal Confidi di 1° grado (al netto di quelli potenzialmente recuperabili dall’impresa) non possono superare l’importo della sovvenzione, come calcolata al punto precedente.</w:t>
      </w:r>
    </w:p>
    <w:p w14:paraId="78C2D1A9" w14:textId="77777777" w:rsidR="00C7136C" w:rsidRPr="00C7136C" w:rsidRDefault="00C7136C" w:rsidP="00C7136C">
      <w:pPr>
        <w:autoSpaceDE w:val="0"/>
        <w:autoSpaceDN w:val="0"/>
        <w:adjustRightInd w:val="0"/>
        <w:spacing w:after="120" w:line="276" w:lineRule="auto"/>
        <w:jc w:val="both"/>
        <w:rPr>
          <w:rFonts w:cstheme="minorHAnsi"/>
          <w:bCs/>
          <w:iCs/>
          <w:u w:val="single"/>
        </w:rPr>
      </w:pPr>
      <w:r>
        <w:rPr>
          <w:rFonts w:ascii="Helvetica" w:hAnsi="Helvetica"/>
          <w:b/>
        </w:rPr>
        <w:sym w:font="Wingdings" w:char="F0E8"/>
      </w:r>
      <w:r w:rsidRPr="00C7136C">
        <w:rPr>
          <w:rFonts w:cstheme="minorHAnsi"/>
          <w:b/>
          <w:iCs/>
        </w:rPr>
        <w:t xml:space="preserve"> Contributo c/investimenti</w:t>
      </w:r>
      <w:r w:rsidRPr="00C7136C">
        <w:rPr>
          <w:rFonts w:cstheme="minorHAnsi"/>
          <w:bCs/>
          <w:iCs/>
        </w:rPr>
        <w:t>.</w:t>
      </w:r>
      <w:r w:rsidRPr="00C7136C">
        <w:rPr>
          <w:rFonts w:cstheme="minorHAnsi"/>
          <w:bCs/>
          <w:i/>
          <w:iCs/>
        </w:rPr>
        <w:t xml:space="preserve"> </w:t>
      </w:r>
      <w:r w:rsidRPr="00C7136C">
        <w:rPr>
          <w:rFonts w:cstheme="minorHAnsi"/>
          <w:bCs/>
          <w:iCs/>
        </w:rPr>
        <w:t xml:space="preserve">Si tratta di un contributo diretto alla spesa per gli investimenti connessi all’aumento di capitale: </w:t>
      </w:r>
      <w:r w:rsidRPr="00C7136C">
        <w:rPr>
          <w:rFonts w:cstheme="minorHAnsi"/>
          <w:bCs/>
          <w:i/>
        </w:rPr>
        <w:t>i)</w:t>
      </w:r>
      <w:r w:rsidRPr="00C7136C">
        <w:rPr>
          <w:rFonts w:cstheme="minorHAnsi"/>
          <w:bCs/>
          <w:iCs/>
        </w:rPr>
        <w:t xml:space="preserve"> Linea A) Contributo in c/investimenti fino a un massimo del </w:t>
      </w:r>
      <w:r w:rsidRPr="00C7136C">
        <w:rPr>
          <w:rFonts w:cstheme="minorHAnsi"/>
          <w:iCs/>
          <w:u w:val="single"/>
        </w:rPr>
        <w:t>30% del valore dell’aumento di capitale sottoscritto e versato</w:t>
      </w:r>
      <w:r w:rsidRPr="00C7136C">
        <w:rPr>
          <w:rFonts w:cstheme="minorHAnsi"/>
          <w:bCs/>
          <w:iCs/>
        </w:rPr>
        <w:t xml:space="preserve">, con un valore massimo del contributo pari a 25.000,00 €; </w:t>
      </w:r>
      <w:r w:rsidRPr="00C7136C">
        <w:rPr>
          <w:rFonts w:cstheme="minorHAnsi"/>
          <w:bCs/>
          <w:i/>
        </w:rPr>
        <w:t>ii)</w:t>
      </w:r>
      <w:r w:rsidRPr="00C7136C">
        <w:rPr>
          <w:rFonts w:cstheme="minorHAnsi"/>
          <w:bCs/>
          <w:iCs/>
        </w:rPr>
        <w:t xml:space="preserve"> Linea B) Contributo in c/investimenti fino ad un massimo del </w:t>
      </w:r>
      <w:r w:rsidRPr="00C7136C">
        <w:rPr>
          <w:rFonts w:cstheme="minorHAnsi"/>
          <w:iCs/>
          <w:u w:val="single"/>
        </w:rPr>
        <w:t>20% del capitale deliberato e sottoscritto</w:t>
      </w:r>
      <w:r w:rsidRPr="00C7136C">
        <w:rPr>
          <w:rFonts w:cstheme="minorHAnsi"/>
          <w:bCs/>
          <w:iCs/>
        </w:rPr>
        <w:t xml:space="preserve">, fino ad un massimo di </w:t>
      </w:r>
      <w:r w:rsidRPr="00C7136C">
        <w:rPr>
          <w:rFonts w:cstheme="minorHAnsi"/>
          <w:iCs/>
        </w:rPr>
        <w:t>30.000,00 €</w:t>
      </w:r>
    </w:p>
    <w:p w14:paraId="4067AEEC" w14:textId="1DFE4184" w:rsidR="00F30DF6" w:rsidRPr="00F30DF6" w:rsidRDefault="00F30DF6" w:rsidP="00F30DF6">
      <w:pPr>
        <w:autoSpaceDE w:val="0"/>
        <w:autoSpaceDN w:val="0"/>
        <w:adjustRightInd w:val="0"/>
        <w:spacing w:after="120" w:line="276" w:lineRule="auto"/>
        <w:jc w:val="both"/>
        <w:rPr>
          <w:rFonts w:cstheme="minorHAnsi"/>
          <w:bCs/>
          <w:iCs/>
        </w:rPr>
      </w:pPr>
      <w:r w:rsidRPr="00F30DF6">
        <w:rPr>
          <w:rFonts w:cstheme="minorHAnsi"/>
          <w:bCs/>
          <w:iCs/>
        </w:rPr>
        <w:t>La somma del valore nominale del finanziamento agevolato e del contributo in c/capitale non deve superare l’ammontare del progetto.</w:t>
      </w:r>
      <w:r w:rsidR="00341060">
        <w:rPr>
          <w:rFonts w:cstheme="minorHAnsi"/>
          <w:bCs/>
          <w:iCs/>
        </w:rPr>
        <w:t xml:space="preserve"> </w:t>
      </w:r>
      <w:r w:rsidRPr="00F30DF6">
        <w:rPr>
          <w:rFonts w:cstheme="minorHAnsi"/>
          <w:bCs/>
          <w:iCs/>
        </w:rPr>
        <w:t xml:space="preserve">L’ammontare nominale del finanziamento agevolato deve risultare superiore all’importo del contributo in c/capitale. </w:t>
      </w:r>
    </w:p>
    <w:p w14:paraId="64AE74EA" w14:textId="77777777" w:rsidR="00F30DF6" w:rsidRPr="00F30DF6" w:rsidRDefault="00F30DF6" w:rsidP="00F30DF6">
      <w:pPr>
        <w:autoSpaceDE w:val="0"/>
        <w:autoSpaceDN w:val="0"/>
        <w:adjustRightInd w:val="0"/>
        <w:spacing w:after="120" w:line="276" w:lineRule="auto"/>
        <w:jc w:val="both"/>
        <w:rPr>
          <w:rFonts w:cstheme="minorHAnsi"/>
          <w:bCs/>
          <w:iCs/>
        </w:rPr>
      </w:pPr>
      <w:r w:rsidRPr="00F30DF6">
        <w:rPr>
          <w:rFonts w:cstheme="minorHAnsi"/>
          <w:bCs/>
          <w:iCs/>
        </w:rPr>
        <w:t>Il rispetto contestuale di tali limiti è necessario affinché la riassicurazione concessa dal Fondo PATRIMONIO PMI possa essere concessa.</w:t>
      </w:r>
    </w:p>
    <w:p w14:paraId="21AED2FF" w14:textId="706239D9" w:rsidR="00C7136C" w:rsidRDefault="00EC4FFC" w:rsidP="008E1984">
      <w:pPr>
        <w:autoSpaceDE w:val="0"/>
        <w:autoSpaceDN w:val="0"/>
        <w:adjustRightInd w:val="0"/>
        <w:spacing w:after="120" w:line="276" w:lineRule="auto"/>
        <w:jc w:val="both"/>
        <w:rPr>
          <w:rFonts w:eastAsiaTheme="minorEastAsia" w:cstheme="minorHAnsi"/>
          <w:highlight w:val="yellow"/>
        </w:rPr>
      </w:pPr>
      <w:r w:rsidRPr="00063D2B">
        <w:rPr>
          <w:rFonts w:cstheme="minorHAnsi"/>
          <w:b/>
          <w:color w:val="2F5496" w:themeColor="accent1" w:themeShade="BF"/>
        </w:rPr>
        <w:lastRenderedPageBreak/>
        <w:t>Programma di investimento</w:t>
      </w:r>
      <w:r w:rsidR="008E1984">
        <w:rPr>
          <w:rFonts w:cstheme="minorHAnsi"/>
          <w:b/>
          <w:color w:val="2F5496" w:themeColor="accent1" w:themeShade="BF"/>
        </w:rPr>
        <w:t xml:space="preserve">. </w:t>
      </w:r>
      <w:r w:rsidRPr="00063D2B">
        <w:rPr>
          <w:rFonts w:eastAsiaTheme="minorEastAsia" w:cstheme="minorHAnsi"/>
        </w:rPr>
        <w:t xml:space="preserve">Il </w:t>
      </w:r>
      <w:r w:rsidRPr="008E1984">
        <w:rPr>
          <w:rFonts w:eastAsiaTheme="minorEastAsia" w:cstheme="minorHAnsi"/>
        </w:rPr>
        <w:t>programma di investimento</w:t>
      </w:r>
      <w:r w:rsidRPr="00063D2B">
        <w:rPr>
          <w:rFonts w:eastAsiaTheme="minorEastAsia" w:cstheme="minorHAnsi"/>
        </w:rPr>
        <w:t xml:space="preserve"> deve essere realizzato nel territorio della Regione Marche </w:t>
      </w:r>
      <w:r w:rsidRPr="008E1984">
        <w:rPr>
          <w:rFonts w:eastAsiaTheme="minorEastAsia" w:cstheme="minorHAnsi"/>
          <w:bCs/>
          <w:u w:val="single"/>
        </w:rPr>
        <w:t>entro al massimo 12 mesi</w:t>
      </w:r>
      <w:r w:rsidRPr="00063D2B">
        <w:rPr>
          <w:rFonts w:eastAsiaTheme="minorEastAsia" w:cstheme="minorHAnsi"/>
        </w:rPr>
        <w:t xml:space="preserve"> </w:t>
      </w:r>
      <w:r w:rsidR="00C7136C">
        <w:rPr>
          <w:rFonts w:eastAsiaTheme="minorEastAsia" w:cstheme="minorHAnsi"/>
        </w:rPr>
        <w:t>dalla data di comunicazione da parte del soggetto Gestore sulla regolarità e completezza del contributo concesso.</w:t>
      </w:r>
    </w:p>
    <w:p w14:paraId="0467BAA4" w14:textId="70FBD5D4" w:rsidR="00EC4FFC" w:rsidRPr="00063D2B" w:rsidRDefault="00EC4FFC" w:rsidP="008E1984">
      <w:pPr>
        <w:autoSpaceDE w:val="0"/>
        <w:autoSpaceDN w:val="0"/>
        <w:adjustRightInd w:val="0"/>
        <w:spacing w:after="120" w:line="276" w:lineRule="auto"/>
        <w:jc w:val="both"/>
        <w:rPr>
          <w:rFonts w:eastAsiaTheme="minorEastAsia" w:cstheme="minorHAnsi"/>
        </w:rPr>
      </w:pPr>
      <w:r w:rsidRPr="00063D2B">
        <w:rPr>
          <w:rFonts w:eastAsiaTheme="minorEastAsia" w:cstheme="minorHAnsi"/>
        </w:rPr>
        <w:t xml:space="preserve">In caso di mancata realizzazione del programma di investimento nei termini previsti dal bando, verrà richiesta la restituzione del contributo in c/capitale e in c/interesse ottenuti dall’impresa sulla parte di finanziamento agevolato in proporzione. Per il programma di investimento sono ammissibili, a titolo indicativo, le spese sostenute per l’acquisto di: </w:t>
      </w:r>
    </w:p>
    <w:p w14:paraId="1A6FC739" w14:textId="77777777" w:rsidR="00EC4FFC" w:rsidRPr="00063D2B" w:rsidRDefault="00EC4FFC" w:rsidP="008767D3">
      <w:pPr>
        <w:pStyle w:val="paragraph"/>
        <w:numPr>
          <w:ilvl w:val="0"/>
          <w:numId w:val="32"/>
        </w:numPr>
        <w:spacing w:before="0" w:beforeAutospacing="0" w:after="120" w:afterAutospacing="0" w:line="276" w:lineRule="auto"/>
        <w:ind w:left="714" w:hanging="357"/>
        <w:contextualSpacing/>
        <w:jc w:val="both"/>
        <w:textAlignment w:val="baseline"/>
        <w:rPr>
          <w:rFonts w:asciiTheme="minorHAnsi" w:eastAsiaTheme="minorEastAsia" w:hAnsiTheme="minorHAnsi" w:cstheme="minorHAnsi"/>
          <w:sz w:val="22"/>
          <w:szCs w:val="22"/>
          <w:lang w:eastAsia="en-US"/>
        </w:rPr>
      </w:pPr>
      <w:r w:rsidRPr="00063D2B">
        <w:rPr>
          <w:rFonts w:asciiTheme="minorHAnsi" w:eastAsiaTheme="minorEastAsia" w:hAnsiTheme="minorHAnsi" w:cstheme="minorHAnsi"/>
          <w:sz w:val="22"/>
          <w:szCs w:val="22"/>
          <w:lang w:eastAsia="en-US"/>
        </w:rPr>
        <w:t>Macchinari, Impianti di produzione, attrezzature, arredi di nuovi di fabbrica necessari per il conseguimento delle finalità produttive;</w:t>
      </w:r>
    </w:p>
    <w:p w14:paraId="4D3A9E89" w14:textId="77777777" w:rsidR="00EC4FFC" w:rsidRPr="00063D2B" w:rsidRDefault="00EC4FFC" w:rsidP="008767D3">
      <w:pPr>
        <w:pStyle w:val="paragraph"/>
        <w:numPr>
          <w:ilvl w:val="0"/>
          <w:numId w:val="32"/>
        </w:numPr>
        <w:spacing w:before="0" w:beforeAutospacing="0" w:after="120" w:afterAutospacing="0" w:line="276" w:lineRule="auto"/>
        <w:ind w:left="714" w:hanging="357"/>
        <w:contextualSpacing/>
        <w:jc w:val="both"/>
        <w:textAlignment w:val="baseline"/>
        <w:rPr>
          <w:rFonts w:asciiTheme="minorHAnsi" w:eastAsiaTheme="minorEastAsia" w:hAnsiTheme="minorHAnsi" w:cstheme="minorHAnsi"/>
          <w:sz w:val="22"/>
          <w:szCs w:val="22"/>
          <w:lang w:eastAsia="en-US"/>
        </w:rPr>
      </w:pPr>
      <w:r w:rsidRPr="00063D2B">
        <w:rPr>
          <w:rFonts w:asciiTheme="minorHAnsi" w:eastAsiaTheme="minorEastAsia" w:hAnsiTheme="minorHAnsi" w:cstheme="minorHAnsi"/>
          <w:sz w:val="22"/>
          <w:szCs w:val="22"/>
          <w:lang w:eastAsia="en-US"/>
        </w:rPr>
        <w:t>Software &amp; hardware;</w:t>
      </w:r>
    </w:p>
    <w:p w14:paraId="5CE0DCE3" w14:textId="77777777" w:rsidR="00EC4FFC" w:rsidRPr="00063D2B" w:rsidRDefault="00EC4FFC" w:rsidP="008767D3">
      <w:pPr>
        <w:pStyle w:val="paragraph"/>
        <w:numPr>
          <w:ilvl w:val="0"/>
          <w:numId w:val="32"/>
        </w:numPr>
        <w:spacing w:before="0" w:beforeAutospacing="0" w:after="120" w:afterAutospacing="0" w:line="276" w:lineRule="auto"/>
        <w:ind w:left="714" w:hanging="357"/>
        <w:contextualSpacing/>
        <w:jc w:val="both"/>
        <w:textAlignment w:val="baseline"/>
        <w:rPr>
          <w:rFonts w:asciiTheme="minorHAnsi" w:eastAsiaTheme="minorEastAsia" w:hAnsiTheme="minorHAnsi" w:cstheme="minorHAnsi"/>
          <w:sz w:val="22"/>
          <w:szCs w:val="22"/>
          <w:lang w:eastAsia="en-US"/>
        </w:rPr>
      </w:pPr>
      <w:r w:rsidRPr="00063D2B">
        <w:rPr>
          <w:rFonts w:asciiTheme="minorHAnsi" w:eastAsiaTheme="minorEastAsia" w:hAnsiTheme="minorHAnsi" w:cstheme="minorHAnsi"/>
          <w:sz w:val="22"/>
          <w:szCs w:val="22"/>
          <w:lang w:eastAsia="en-US"/>
        </w:rPr>
        <w:t>Marchi, di brevetti e licenze di produzione;</w:t>
      </w:r>
    </w:p>
    <w:p w14:paraId="3986D89E" w14:textId="77777777" w:rsidR="00EC4FFC" w:rsidRPr="00063D2B" w:rsidRDefault="00EC4FFC" w:rsidP="008767D3">
      <w:pPr>
        <w:pStyle w:val="paragraph"/>
        <w:numPr>
          <w:ilvl w:val="0"/>
          <w:numId w:val="32"/>
        </w:numPr>
        <w:spacing w:before="0" w:beforeAutospacing="0" w:after="120" w:afterAutospacing="0" w:line="276" w:lineRule="auto"/>
        <w:ind w:left="714" w:hanging="357"/>
        <w:contextualSpacing/>
        <w:jc w:val="both"/>
        <w:textAlignment w:val="baseline"/>
        <w:rPr>
          <w:rFonts w:asciiTheme="minorHAnsi" w:eastAsiaTheme="minorEastAsia" w:hAnsiTheme="minorHAnsi" w:cstheme="minorHAnsi"/>
          <w:sz w:val="22"/>
          <w:szCs w:val="22"/>
          <w:lang w:eastAsia="en-US"/>
        </w:rPr>
      </w:pPr>
      <w:r w:rsidRPr="00063D2B">
        <w:rPr>
          <w:rFonts w:asciiTheme="minorHAnsi" w:eastAsiaTheme="minorEastAsia" w:hAnsiTheme="minorHAnsi" w:cstheme="minorHAnsi"/>
          <w:sz w:val="22"/>
          <w:szCs w:val="22"/>
          <w:lang w:eastAsia="en-US"/>
        </w:rPr>
        <w:t>Opere murarie, opere di bonifica, impiantistica e costi assimilate, anche finalizzati all’introduzione di criteri di ingegneria antisismica nel limite del 20% delle precedenti lettere a), b) e c) e costituiscono spesa ammissibile solo se direttamente correlate e funzionali all’attività operativa dell’impresa e all’istallazione dei beni oggetto dell’investimento;</w:t>
      </w:r>
    </w:p>
    <w:p w14:paraId="0530EB4F" w14:textId="77777777" w:rsidR="00EC4FFC" w:rsidRPr="00063D2B" w:rsidRDefault="00EC4FFC" w:rsidP="008767D3">
      <w:pPr>
        <w:pStyle w:val="paragraph"/>
        <w:numPr>
          <w:ilvl w:val="0"/>
          <w:numId w:val="32"/>
        </w:numPr>
        <w:spacing w:before="0" w:beforeAutospacing="0" w:after="120" w:afterAutospacing="0" w:line="276" w:lineRule="auto"/>
        <w:ind w:left="714" w:hanging="357"/>
        <w:contextualSpacing/>
        <w:jc w:val="both"/>
        <w:textAlignment w:val="baseline"/>
        <w:rPr>
          <w:rFonts w:asciiTheme="minorHAnsi" w:eastAsiaTheme="minorEastAsia" w:hAnsiTheme="minorHAnsi" w:cstheme="minorHAnsi"/>
          <w:sz w:val="22"/>
          <w:szCs w:val="22"/>
          <w:lang w:eastAsia="en-US"/>
        </w:rPr>
      </w:pPr>
      <w:r w:rsidRPr="00063D2B">
        <w:rPr>
          <w:rFonts w:asciiTheme="minorHAnsi" w:eastAsiaTheme="minorEastAsia" w:hAnsiTheme="minorHAnsi" w:cstheme="minorHAnsi"/>
          <w:sz w:val="22"/>
          <w:szCs w:val="22"/>
          <w:lang w:eastAsia="en-US"/>
        </w:rPr>
        <w:t>Investimenti green (rinnovabili, riciclo e riutilizzo di materiali, Risparmio di energia, ecc.)</w:t>
      </w:r>
    </w:p>
    <w:p w14:paraId="40BFFB3C" w14:textId="77777777" w:rsidR="00EC4FFC" w:rsidRPr="00063D2B" w:rsidRDefault="00EC4FFC" w:rsidP="008767D3">
      <w:pPr>
        <w:pStyle w:val="paragraph"/>
        <w:numPr>
          <w:ilvl w:val="0"/>
          <w:numId w:val="32"/>
        </w:numPr>
        <w:spacing w:before="0" w:beforeAutospacing="0" w:after="120" w:afterAutospacing="0" w:line="276" w:lineRule="auto"/>
        <w:ind w:left="714" w:hanging="357"/>
        <w:contextualSpacing/>
        <w:jc w:val="both"/>
        <w:textAlignment w:val="baseline"/>
        <w:rPr>
          <w:rFonts w:asciiTheme="minorHAnsi" w:eastAsia="Calibri" w:hAnsiTheme="minorHAnsi" w:cstheme="minorHAnsi"/>
          <w:color w:val="000000"/>
          <w:sz w:val="22"/>
          <w:szCs w:val="22"/>
          <w:u w:color="244061"/>
          <w:bdr w:val="nil"/>
        </w:rPr>
      </w:pPr>
      <w:r w:rsidRPr="00063D2B">
        <w:rPr>
          <w:rFonts w:asciiTheme="minorHAnsi" w:eastAsiaTheme="minorEastAsia" w:hAnsiTheme="minorHAnsi" w:cstheme="minorHAnsi"/>
          <w:sz w:val="22"/>
          <w:szCs w:val="22"/>
          <w:lang w:eastAsia="en-US"/>
        </w:rPr>
        <w:t>Consulenze strategiche e tecniche nel limite del 10% delle voci precedenti.</w:t>
      </w:r>
    </w:p>
    <w:p w14:paraId="1C844513" w14:textId="1B8CDB56" w:rsidR="00EC4FFC" w:rsidRPr="00063D2B" w:rsidRDefault="00EC4FFC" w:rsidP="008E1984">
      <w:pPr>
        <w:autoSpaceDE w:val="0"/>
        <w:autoSpaceDN w:val="0"/>
        <w:adjustRightInd w:val="0"/>
        <w:spacing w:after="120" w:line="276" w:lineRule="auto"/>
        <w:jc w:val="both"/>
        <w:rPr>
          <w:rFonts w:cstheme="minorHAnsi"/>
        </w:rPr>
      </w:pPr>
      <w:bookmarkStart w:id="14" w:name="_Toc173310472"/>
      <w:r w:rsidRPr="00063D2B">
        <w:rPr>
          <w:rFonts w:cstheme="minorHAnsi"/>
          <w:b/>
          <w:color w:val="2F5496" w:themeColor="accent1" w:themeShade="BF"/>
        </w:rPr>
        <w:t>Operazioni non ammissibili</w:t>
      </w:r>
      <w:bookmarkEnd w:id="14"/>
      <w:r w:rsidR="008E1984">
        <w:rPr>
          <w:rFonts w:cstheme="minorHAnsi"/>
          <w:b/>
          <w:color w:val="2F5496" w:themeColor="accent1" w:themeShade="BF"/>
        </w:rPr>
        <w:t xml:space="preserve">. </w:t>
      </w:r>
      <w:r w:rsidR="008E1984" w:rsidRPr="008E1984">
        <w:rPr>
          <w:rFonts w:cstheme="minorHAnsi"/>
          <w:bCs/>
        </w:rPr>
        <w:t xml:space="preserve">Non sono ammissibili le operazioni riguardanti: </w:t>
      </w:r>
      <w:r w:rsidR="008E1984">
        <w:rPr>
          <w:rFonts w:ascii="Helvetica" w:hAnsi="Helvetica" w:cstheme="minorHAnsi"/>
          <w:bCs/>
        </w:rPr>
        <w:t>●</w:t>
      </w:r>
      <w:r w:rsidR="008E1984">
        <w:rPr>
          <w:rFonts w:cstheme="minorHAnsi"/>
          <w:bCs/>
        </w:rPr>
        <w:t xml:space="preserve"> </w:t>
      </w:r>
      <w:r w:rsidRPr="00063D2B">
        <w:rPr>
          <w:rFonts w:cstheme="minorHAnsi"/>
        </w:rPr>
        <w:t>aumento di capitale che derivi da trasformazioni di finanziamento da parte di soci, riclassificazione di riserve ed operazioni equiparabili;</w:t>
      </w:r>
      <w:r w:rsidR="008E1984">
        <w:rPr>
          <w:rFonts w:cstheme="minorHAnsi"/>
        </w:rPr>
        <w:t xml:space="preserve"> </w:t>
      </w:r>
      <w:r w:rsidR="008E1984">
        <w:rPr>
          <w:rFonts w:ascii="Helvetica" w:hAnsi="Helvetica" w:cstheme="minorHAnsi"/>
          <w:bCs/>
        </w:rPr>
        <w:t>●</w:t>
      </w:r>
      <w:r w:rsidR="008E1984">
        <w:rPr>
          <w:rFonts w:cstheme="minorHAnsi"/>
        </w:rPr>
        <w:t xml:space="preserve"> o</w:t>
      </w:r>
      <w:r w:rsidRPr="00063D2B">
        <w:rPr>
          <w:rFonts w:cstheme="minorHAnsi"/>
        </w:rPr>
        <w:t>perazioni contabili di conferimento di riserve, apporto di beni e altre risorse in natura;</w:t>
      </w:r>
      <w:r w:rsidR="008E1984">
        <w:rPr>
          <w:rFonts w:cstheme="minorHAnsi"/>
        </w:rPr>
        <w:t xml:space="preserve"> </w:t>
      </w:r>
      <w:r w:rsidR="008E1984">
        <w:rPr>
          <w:rFonts w:ascii="Helvetica" w:hAnsi="Helvetica" w:cstheme="minorHAnsi"/>
          <w:bCs/>
        </w:rPr>
        <w:t>●</w:t>
      </w:r>
      <w:r w:rsidR="008E1984">
        <w:rPr>
          <w:rFonts w:cstheme="minorHAnsi"/>
        </w:rPr>
        <w:t xml:space="preserve"> </w:t>
      </w:r>
      <w:r w:rsidRPr="00063D2B">
        <w:rPr>
          <w:rFonts w:cstheme="minorHAnsi"/>
        </w:rPr>
        <w:t>aumento di capitale nel caso in cui siano già state deliberate o effettuate nel corso dell’ultimo esercizio riduzioni di capitale volontarie dei soci o distribuzioni di riserve o altre voci patrimoniali.</w:t>
      </w:r>
    </w:p>
    <w:p w14:paraId="39381B23" w14:textId="6B20E593" w:rsidR="00C00E53" w:rsidRPr="00063D2B" w:rsidRDefault="00D33266" w:rsidP="001C59FF">
      <w:pPr>
        <w:pStyle w:val="Titolo1"/>
        <w:rPr>
          <w:rFonts w:cstheme="minorHAnsi"/>
          <w:b/>
          <w:sz w:val="24"/>
          <w:szCs w:val="24"/>
        </w:rPr>
      </w:pPr>
      <w:bookmarkStart w:id="15" w:name="_Toc192061651"/>
      <w:r w:rsidRPr="00063D2B">
        <w:rPr>
          <w:rFonts w:cstheme="minorHAnsi"/>
          <w:b/>
          <w:sz w:val="24"/>
          <w:szCs w:val="24"/>
        </w:rPr>
        <w:t>DESTINATARI DELL’INTERVENTO</w:t>
      </w:r>
      <w:bookmarkEnd w:id="15"/>
    </w:p>
    <w:p w14:paraId="6A4B961F" w14:textId="27277379" w:rsidR="00E74C21" w:rsidRPr="00063D2B" w:rsidRDefault="00D64404" w:rsidP="008767D3">
      <w:pPr>
        <w:autoSpaceDE w:val="0"/>
        <w:autoSpaceDN w:val="0"/>
        <w:adjustRightInd w:val="0"/>
        <w:spacing w:after="120" w:line="276" w:lineRule="auto"/>
        <w:jc w:val="both"/>
        <w:rPr>
          <w:rFonts w:cstheme="minorHAnsi"/>
        </w:rPr>
      </w:pPr>
      <w:r w:rsidRPr="00063D2B">
        <w:rPr>
          <w:rFonts w:cstheme="minorHAnsi"/>
        </w:rPr>
        <w:t xml:space="preserve">Le imprese che possono accedere alle </w:t>
      </w:r>
      <w:r w:rsidR="00E74C21" w:rsidRPr="00063D2B">
        <w:rPr>
          <w:rFonts w:cstheme="minorHAnsi"/>
        </w:rPr>
        <w:t xml:space="preserve">agevolazioni </w:t>
      </w:r>
      <w:r w:rsidRPr="00063D2B">
        <w:rPr>
          <w:rFonts w:cstheme="minorHAnsi"/>
        </w:rPr>
        <w:t xml:space="preserve">devono essere in possesso obbligatoriamente dei </w:t>
      </w:r>
      <w:r w:rsidR="00E74C21" w:rsidRPr="00063D2B">
        <w:rPr>
          <w:rFonts w:cstheme="minorHAnsi"/>
        </w:rPr>
        <w:t>seguenti requisiti:</w:t>
      </w:r>
    </w:p>
    <w:p w14:paraId="70CB0770" w14:textId="77777777" w:rsidR="00E74C21" w:rsidRPr="00063D2B" w:rsidRDefault="00E74C21" w:rsidP="008767D3">
      <w:pPr>
        <w:pStyle w:val="Paragrafoelenco"/>
        <w:numPr>
          <w:ilvl w:val="0"/>
          <w:numId w:val="25"/>
        </w:numPr>
        <w:autoSpaceDE w:val="0"/>
        <w:autoSpaceDN w:val="0"/>
        <w:adjustRightInd w:val="0"/>
        <w:spacing w:after="120" w:line="276" w:lineRule="auto"/>
        <w:jc w:val="both"/>
        <w:rPr>
          <w:rFonts w:cstheme="minorHAnsi"/>
        </w:rPr>
      </w:pPr>
      <w:r w:rsidRPr="00063D2B">
        <w:rPr>
          <w:rFonts w:cstheme="minorHAnsi"/>
        </w:rPr>
        <w:t>MPMI ai sensi dell’Allegato I al Reg. UE n. 651/2014 operanti in tutti i settori di attività economica, con esclusione di quelli previsti dal Reg. UE 1058/2021 e 1060/2021 e dal regime di Aiuto adottato;</w:t>
      </w:r>
    </w:p>
    <w:p w14:paraId="37E94E45" w14:textId="64DCB645" w:rsidR="00E74C21" w:rsidRPr="00063D2B" w:rsidRDefault="00917A3F" w:rsidP="008767D3">
      <w:pPr>
        <w:pStyle w:val="Paragrafoelenco"/>
        <w:numPr>
          <w:ilvl w:val="0"/>
          <w:numId w:val="25"/>
        </w:numPr>
        <w:autoSpaceDE w:val="0"/>
        <w:autoSpaceDN w:val="0"/>
        <w:adjustRightInd w:val="0"/>
        <w:spacing w:after="120" w:line="276" w:lineRule="auto"/>
        <w:jc w:val="both"/>
        <w:rPr>
          <w:rFonts w:cstheme="minorHAnsi"/>
        </w:rPr>
      </w:pPr>
      <w:r w:rsidRPr="00063D2B">
        <w:rPr>
          <w:rFonts w:cstheme="minorHAnsi"/>
        </w:rPr>
        <w:t xml:space="preserve">non </w:t>
      </w:r>
      <w:r w:rsidR="00E74C21" w:rsidRPr="00063D2B">
        <w:rPr>
          <w:rFonts w:cstheme="minorHAnsi"/>
        </w:rPr>
        <w:t>essere incorsi in cause di divieto, sospensione o decadenza previste dall’art. 67 del D. Lgs.159/2011 e successive modificazioni (Codice antimafia) nei confronti dei soggetti previsti, a seconda della tipologia dell'impresa richiedente, all'art. 85 del medesimo decreto;</w:t>
      </w:r>
    </w:p>
    <w:p w14:paraId="0C6C8D34" w14:textId="0185C286" w:rsidR="00E74C21" w:rsidRPr="00063D2B" w:rsidRDefault="00917A3F" w:rsidP="008767D3">
      <w:pPr>
        <w:pStyle w:val="Paragrafoelenco"/>
        <w:numPr>
          <w:ilvl w:val="0"/>
          <w:numId w:val="25"/>
        </w:numPr>
        <w:autoSpaceDE w:val="0"/>
        <w:autoSpaceDN w:val="0"/>
        <w:adjustRightInd w:val="0"/>
        <w:spacing w:after="120" w:line="276" w:lineRule="auto"/>
        <w:jc w:val="both"/>
        <w:rPr>
          <w:rFonts w:cstheme="minorHAnsi"/>
        </w:rPr>
      </w:pPr>
      <w:r w:rsidRPr="00063D2B">
        <w:rPr>
          <w:rFonts w:cstheme="minorHAnsi"/>
        </w:rPr>
        <w:t xml:space="preserve">non </w:t>
      </w:r>
      <w:r w:rsidR="00E74C21" w:rsidRPr="00063D2B">
        <w:rPr>
          <w:rFonts w:cstheme="minorHAnsi"/>
        </w:rPr>
        <w:t>trovarsi in stato di fallimento, liquidazione coatta, liquidazione volontaria, concordato preventivo, ad eccezione del concordato di continuità, o altre procedure concorsuali previste dalla legge fallimentare secondo le vigenti disposizioni in materia di aiuti di stato;</w:t>
      </w:r>
    </w:p>
    <w:p w14:paraId="3B71B917" w14:textId="03DC247E" w:rsidR="00E74C21" w:rsidRPr="00063D2B" w:rsidRDefault="00917A3F" w:rsidP="008767D3">
      <w:pPr>
        <w:pStyle w:val="Paragrafoelenco"/>
        <w:numPr>
          <w:ilvl w:val="0"/>
          <w:numId w:val="25"/>
        </w:numPr>
        <w:autoSpaceDE w:val="0"/>
        <w:autoSpaceDN w:val="0"/>
        <w:adjustRightInd w:val="0"/>
        <w:spacing w:after="120" w:line="276" w:lineRule="auto"/>
        <w:jc w:val="both"/>
        <w:rPr>
          <w:rFonts w:cstheme="minorHAnsi"/>
        </w:rPr>
      </w:pPr>
      <w:r w:rsidRPr="00063D2B">
        <w:rPr>
          <w:rFonts w:cstheme="minorHAnsi"/>
        </w:rPr>
        <w:t xml:space="preserve">divieto </w:t>
      </w:r>
      <w:r w:rsidR="00E74C21" w:rsidRPr="00063D2B">
        <w:rPr>
          <w:rFonts w:cstheme="minorHAnsi"/>
        </w:rPr>
        <w:t>“imprese in difficoltà” (Regolamento 651/2014 – Art. 2.18);</w:t>
      </w:r>
    </w:p>
    <w:p w14:paraId="14D67FD9" w14:textId="5486506D" w:rsidR="00E74C21" w:rsidRPr="00063D2B" w:rsidRDefault="00917A3F" w:rsidP="008767D3">
      <w:pPr>
        <w:pStyle w:val="Paragrafoelenco"/>
        <w:numPr>
          <w:ilvl w:val="0"/>
          <w:numId w:val="25"/>
        </w:numPr>
        <w:autoSpaceDE w:val="0"/>
        <w:autoSpaceDN w:val="0"/>
        <w:adjustRightInd w:val="0"/>
        <w:spacing w:after="120" w:line="276" w:lineRule="auto"/>
        <w:jc w:val="both"/>
        <w:rPr>
          <w:rFonts w:cstheme="minorHAnsi"/>
        </w:rPr>
      </w:pPr>
      <w:r w:rsidRPr="00063D2B">
        <w:rPr>
          <w:rFonts w:cstheme="minorHAnsi"/>
        </w:rPr>
        <w:t xml:space="preserve">regolarità </w:t>
      </w:r>
      <w:r w:rsidR="00E74C21" w:rsidRPr="00063D2B">
        <w:rPr>
          <w:rFonts w:cstheme="minorHAnsi"/>
        </w:rPr>
        <w:t>DURC o documento equipollente;</w:t>
      </w:r>
    </w:p>
    <w:p w14:paraId="03F36F2B" w14:textId="45EEE15F" w:rsidR="00E74C21" w:rsidRPr="00063D2B" w:rsidRDefault="00917A3F" w:rsidP="008767D3">
      <w:pPr>
        <w:pStyle w:val="Paragrafoelenco"/>
        <w:numPr>
          <w:ilvl w:val="0"/>
          <w:numId w:val="25"/>
        </w:numPr>
        <w:autoSpaceDE w:val="0"/>
        <w:autoSpaceDN w:val="0"/>
        <w:adjustRightInd w:val="0"/>
        <w:spacing w:after="120" w:line="276" w:lineRule="auto"/>
        <w:jc w:val="both"/>
        <w:rPr>
          <w:rFonts w:cstheme="minorHAnsi"/>
        </w:rPr>
      </w:pPr>
      <w:r w:rsidRPr="00063D2B">
        <w:rPr>
          <w:rFonts w:cstheme="minorHAnsi"/>
        </w:rPr>
        <w:t xml:space="preserve">avere </w:t>
      </w:r>
      <w:r w:rsidR="00E74C21" w:rsidRPr="00063D2B">
        <w:rPr>
          <w:rFonts w:cstheme="minorHAnsi"/>
        </w:rPr>
        <w:t>sede legale e/o operativa nella Regione Marche</w:t>
      </w:r>
    </w:p>
    <w:p w14:paraId="0DB5EAB2" w14:textId="52769D47" w:rsidR="00473CB3" w:rsidRPr="00860F1C" w:rsidRDefault="00D64404" w:rsidP="00860F1C">
      <w:pPr>
        <w:autoSpaceDE w:val="0"/>
        <w:autoSpaceDN w:val="0"/>
        <w:adjustRightInd w:val="0"/>
        <w:spacing w:after="120" w:line="276" w:lineRule="auto"/>
        <w:jc w:val="both"/>
        <w:rPr>
          <w:rFonts w:cstheme="minorHAnsi"/>
        </w:rPr>
      </w:pPr>
      <w:r w:rsidRPr="00063D2B">
        <w:rPr>
          <w:rFonts w:cstheme="minorHAnsi"/>
        </w:rPr>
        <w:t>In aggiunta ai requisiti sopra elencati in funzione delle Linee di intervento è necessario possedere i criteri che seguono</w:t>
      </w:r>
      <w:r w:rsidR="00860F1C">
        <w:rPr>
          <w:rFonts w:cstheme="minorHAnsi"/>
        </w:rPr>
        <w:t>:</w:t>
      </w:r>
    </w:p>
    <w:tbl>
      <w:tblPr>
        <w:tblStyle w:val="Grigliatabella"/>
        <w:tblW w:w="0" w:type="auto"/>
        <w:jc w:val="center"/>
        <w:tblLook w:val="04A0" w:firstRow="1" w:lastRow="0" w:firstColumn="1" w:lastColumn="0" w:noHBand="0" w:noVBand="1"/>
      </w:tblPr>
      <w:tblGrid>
        <w:gridCol w:w="1135"/>
        <w:gridCol w:w="7932"/>
      </w:tblGrid>
      <w:tr w:rsidR="00E74C21" w:rsidRPr="00063D2B" w14:paraId="43AABB2F" w14:textId="77777777" w:rsidTr="00E74C21">
        <w:trPr>
          <w:trHeight w:val="178"/>
          <w:jc w:val="center"/>
        </w:trPr>
        <w:tc>
          <w:tcPr>
            <w:tcW w:w="1135" w:type="dxa"/>
            <w:vMerge w:val="restart"/>
            <w:shd w:val="clear" w:color="auto" w:fill="2F5496" w:themeFill="accent1" w:themeFillShade="BF"/>
            <w:vAlign w:val="center"/>
          </w:tcPr>
          <w:p w14:paraId="0E085C85" w14:textId="605E19F8" w:rsidR="00E74C21" w:rsidRPr="00063D2B" w:rsidRDefault="00E74C21" w:rsidP="00E74C21">
            <w:pPr>
              <w:autoSpaceDE w:val="0"/>
              <w:autoSpaceDN w:val="0"/>
              <w:adjustRightInd w:val="0"/>
              <w:rPr>
                <w:rFonts w:cstheme="minorHAnsi"/>
                <w:b/>
                <w:bCs/>
                <w:color w:val="FFFFFF" w:themeColor="background1"/>
              </w:rPr>
            </w:pPr>
            <w:r w:rsidRPr="00063D2B">
              <w:rPr>
                <w:rFonts w:cstheme="minorHAnsi"/>
                <w:b/>
                <w:bCs/>
                <w:color w:val="FFFFFF" w:themeColor="background1"/>
              </w:rPr>
              <w:t>Linea A</w:t>
            </w:r>
          </w:p>
        </w:tc>
        <w:tc>
          <w:tcPr>
            <w:tcW w:w="7932" w:type="dxa"/>
          </w:tcPr>
          <w:p w14:paraId="71D21AAD" w14:textId="37664E4F" w:rsidR="00E74C21" w:rsidRPr="00063D2B" w:rsidRDefault="00E74C21" w:rsidP="00E74C21">
            <w:pPr>
              <w:autoSpaceDE w:val="0"/>
              <w:autoSpaceDN w:val="0"/>
              <w:adjustRightInd w:val="0"/>
              <w:jc w:val="both"/>
              <w:rPr>
                <w:rFonts w:cstheme="minorHAnsi"/>
              </w:rPr>
            </w:pPr>
            <w:r w:rsidRPr="00063D2B">
              <w:rPr>
                <w:rFonts w:cstheme="minorHAnsi"/>
              </w:rPr>
              <w:t>Forma giuridica: ditta individuale o società di persone</w:t>
            </w:r>
          </w:p>
        </w:tc>
      </w:tr>
      <w:tr w:rsidR="00E74C21" w:rsidRPr="00063D2B" w14:paraId="73EF9EA0" w14:textId="77777777" w:rsidTr="00E74C21">
        <w:trPr>
          <w:jc w:val="center"/>
        </w:trPr>
        <w:tc>
          <w:tcPr>
            <w:tcW w:w="1135" w:type="dxa"/>
            <w:vMerge/>
            <w:shd w:val="clear" w:color="auto" w:fill="2F5496" w:themeFill="accent1" w:themeFillShade="BF"/>
            <w:vAlign w:val="center"/>
          </w:tcPr>
          <w:p w14:paraId="07DBC5AE" w14:textId="3A0C0B33" w:rsidR="00E74C21" w:rsidRPr="00063D2B" w:rsidRDefault="00E74C21" w:rsidP="00E74C21">
            <w:pPr>
              <w:autoSpaceDE w:val="0"/>
              <w:autoSpaceDN w:val="0"/>
              <w:adjustRightInd w:val="0"/>
              <w:rPr>
                <w:rFonts w:cstheme="minorHAnsi"/>
                <w:b/>
                <w:bCs/>
                <w:color w:val="FFFFFF" w:themeColor="background1"/>
              </w:rPr>
            </w:pPr>
          </w:p>
        </w:tc>
        <w:tc>
          <w:tcPr>
            <w:tcW w:w="7932" w:type="dxa"/>
          </w:tcPr>
          <w:p w14:paraId="153B6241" w14:textId="733BDE93" w:rsidR="00E74C21" w:rsidRPr="00063D2B" w:rsidRDefault="00E74C21" w:rsidP="00E74C21">
            <w:pPr>
              <w:autoSpaceDE w:val="0"/>
              <w:autoSpaceDN w:val="0"/>
              <w:adjustRightInd w:val="0"/>
              <w:jc w:val="both"/>
              <w:rPr>
                <w:rFonts w:cstheme="minorHAnsi"/>
              </w:rPr>
            </w:pPr>
            <w:r w:rsidRPr="00063D2B">
              <w:rPr>
                <w:rFonts w:cstheme="minorHAnsi"/>
              </w:rPr>
              <w:t>Risultare attivi da almeno 12 mesi</w:t>
            </w:r>
          </w:p>
        </w:tc>
      </w:tr>
      <w:tr w:rsidR="00E74C21" w:rsidRPr="00063D2B" w14:paraId="11B3FB9C" w14:textId="77777777" w:rsidTr="00E74C21">
        <w:trPr>
          <w:jc w:val="center"/>
        </w:trPr>
        <w:tc>
          <w:tcPr>
            <w:tcW w:w="1135" w:type="dxa"/>
            <w:vMerge w:val="restart"/>
            <w:shd w:val="clear" w:color="auto" w:fill="2F5496" w:themeFill="accent1" w:themeFillShade="BF"/>
            <w:vAlign w:val="center"/>
          </w:tcPr>
          <w:p w14:paraId="4AA5546A" w14:textId="689CA6B6" w:rsidR="00E74C21" w:rsidRPr="00063D2B" w:rsidRDefault="00E74C21" w:rsidP="00E74C21">
            <w:pPr>
              <w:autoSpaceDE w:val="0"/>
              <w:autoSpaceDN w:val="0"/>
              <w:adjustRightInd w:val="0"/>
              <w:rPr>
                <w:rFonts w:cstheme="minorHAnsi"/>
                <w:b/>
                <w:bCs/>
                <w:color w:val="FFFFFF" w:themeColor="background1"/>
              </w:rPr>
            </w:pPr>
            <w:r w:rsidRPr="00063D2B">
              <w:rPr>
                <w:rFonts w:cstheme="minorHAnsi"/>
                <w:b/>
                <w:bCs/>
                <w:color w:val="FFFFFF" w:themeColor="background1"/>
              </w:rPr>
              <w:t>Linea B</w:t>
            </w:r>
          </w:p>
        </w:tc>
        <w:tc>
          <w:tcPr>
            <w:tcW w:w="7932" w:type="dxa"/>
          </w:tcPr>
          <w:p w14:paraId="43A43CC0" w14:textId="703B96C4" w:rsidR="00E74C21" w:rsidRPr="00063D2B" w:rsidRDefault="00E74C21" w:rsidP="00E74C21">
            <w:pPr>
              <w:autoSpaceDE w:val="0"/>
              <w:autoSpaceDN w:val="0"/>
              <w:adjustRightInd w:val="0"/>
              <w:jc w:val="both"/>
              <w:rPr>
                <w:rFonts w:cstheme="minorHAnsi"/>
              </w:rPr>
            </w:pPr>
            <w:r w:rsidRPr="00063D2B">
              <w:rPr>
                <w:rFonts w:cstheme="minorHAnsi"/>
              </w:rPr>
              <w:t>Forma giuridica: società di capitali</w:t>
            </w:r>
          </w:p>
        </w:tc>
      </w:tr>
      <w:tr w:rsidR="00E74C21" w:rsidRPr="00063D2B" w14:paraId="23283E1B" w14:textId="77777777" w:rsidTr="00E74C21">
        <w:trPr>
          <w:jc w:val="center"/>
        </w:trPr>
        <w:tc>
          <w:tcPr>
            <w:tcW w:w="1135" w:type="dxa"/>
            <w:vMerge/>
            <w:shd w:val="clear" w:color="auto" w:fill="2F5496" w:themeFill="accent1" w:themeFillShade="BF"/>
          </w:tcPr>
          <w:p w14:paraId="40C844A5" w14:textId="4C60D478" w:rsidR="00E74C21" w:rsidRPr="00063D2B" w:rsidRDefault="00E74C21" w:rsidP="005E5068">
            <w:pPr>
              <w:autoSpaceDE w:val="0"/>
              <w:autoSpaceDN w:val="0"/>
              <w:adjustRightInd w:val="0"/>
              <w:jc w:val="both"/>
              <w:rPr>
                <w:rFonts w:cstheme="minorHAnsi"/>
              </w:rPr>
            </w:pPr>
          </w:p>
        </w:tc>
        <w:tc>
          <w:tcPr>
            <w:tcW w:w="7932" w:type="dxa"/>
          </w:tcPr>
          <w:p w14:paraId="5DFE57E3" w14:textId="3295A844" w:rsidR="00E74C21" w:rsidRPr="00063D2B" w:rsidRDefault="00E74C21" w:rsidP="00E74C21">
            <w:pPr>
              <w:autoSpaceDE w:val="0"/>
              <w:autoSpaceDN w:val="0"/>
              <w:adjustRightInd w:val="0"/>
              <w:jc w:val="both"/>
              <w:rPr>
                <w:rFonts w:cstheme="minorHAnsi"/>
              </w:rPr>
            </w:pPr>
            <w:r w:rsidRPr="00063D2B">
              <w:rPr>
                <w:rFonts w:cstheme="minorHAnsi"/>
              </w:rPr>
              <w:t>Essere attiva da oltre 36 mesi e in possesso di almeno due bilanci chiusi e depositati</w:t>
            </w:r>
          </w:p>
        </w:tc>
      </w:tr>
    </w:tbl>
    <w:p w14:paraId="66599718" w14:textId="467B2E55" w:rsidR="00D33266" w:rsidRPr="00063D2B" w:rsidRDefault="00D33266" w:rsidP="001C59FF">
      <w:pPr>
        <w:pStyle w:val="Titolo2"/>
        <w:rPr>
          <w:rFonts w:cstheme="minorHAnsi"/>
          <w:b/>
          <w:sz w:val="24"/>
          <w:szCs w:val="24"/>
        </w:rPr>
      </w:pPr>
      <w:bookmarkStart w:id="16" w:name="_Toc192061652"/>
      <w:r w:rsidRPr="00063D2B">
        <w:rPr>
          <w:rFonts w:cstheme="minorHAnsi"/>
          <w:b/>
          <w:sz w:val="24"/>
          <w:szCs w:val="24"/>
        </w:rPr>
        <w:lastRenderedPageBreak/>
        <w:t>RISORSE A DISPOSIZIONE DELLA MISURA</w:t>
      </w:r>
      <w:bookmarkEnd w:id="16"/>
    </w:p>
    <w:p w14:paraId="10B33815" w14:textId="3D23DEC5" w:rsidR="00F30DF6" w:rsidRPr="00063D2B" w:rsidRDefault="00F30DF6" w:rsidP="00F30DF6">
      <w:pPr>
        <w:autoSpaceDE w:val="0"/>
        <w:autoSpaceDN w:val="0"/>
        <w:adjustRightInd w:val="0"/>
        <w:spacing w:after="120" w:line="276" w:lineRule="auto"/>
        <w:jc w:val="both"/>
      </w:pPr>
      <w:r w:rsidRPr="00063D2B">
        <w:t xml:space="preserve">La dotazione finanziaria complessiva è pari </w:t>
      </w:r>
      <w:r w:rsidRPr="008E1984">
        <w:t xml:space="preserve">a </w:t>
      </w:r>
      <w:r w:rsidRPr="006A1435">
        <w:rPr>
          <w:u w:val="single"/>
        </w:rPr>
        <w:t>8.236.908,80</w:t>
      </w:r>
      <w:r w:rsidR="007D4E6B">
        <w:rPr>
          <w:u w:val="single"/>
        </w:rPr>
        <w:t xml:space="preserve"> €</w:t>
      </w:r>
      <w:r w:rsidRPr="00063D2B">
        <w:t xml:space="preserve"> comprensiva delle commissioni di gestione dovute al Soggetto Gestore nella misura percentuale proposta dallo stesso in sede di aggiudicazione dell’Accordo Quadro</w:t>
      </w:r>
      <w:r w:rsidR="00E14C6A">
        <w:t xml:space="preserve">: la dotazione netta a favore delle imprese è pari a </w:t>
      </w:r>
      <w:r w:rsidR="00E14C6A" w:rsidRPr="00846E68">
        <w:rPr>
          <w:u w:val="single"/>
        </w:rPr>
        <w:t>7.909.737,28 €</w:t>
      </w:r>
      <w:r w:rsidR="00846E68">
        <w:rPr>
          <w:u w:val="single"/>
        </w:rPr>
        <w:t>.</w:t>
      </w:r>
    </w:p>
    <w:p w14:paraId="4652CCCB" w14:textId="258C9A24" w:rsidR="00D33266" w:rsidRPr="00063D2B" w:rsidRDefault="00D33266" w:rsidP="001C59FF">
      <w:pPr>
        <w:pStyle w:val="Titolo2"/>
        <w:rPr>
          <w:rFonts w:cstheme="minorHAnsi"/>
          <w:b/>
          <w:sz w:val="24"/>
          <w:szCs w:val="24"/>
        </w:rPr>
      </w:pPr>
      <w:bookmarkStart w:id="17" w:name="_Toc192061653"/>
      <w:r w:rsidRPr="00063D2B">
        <w:rPr>
          <w:rFonts w:cstheme="minorHAnsi"/>
          <w:b/>
          <w:sz w:val="24"/>
          <w:szCs w:val="24"/>
        </w:rPr>
        <w:t>GESTOR</w:t>
      </w:r>
      <w:r w:rsidR="00B21484" w:rsidRPr="00063D2B">
        <w:rPr>
          <w:rFonts w:cstheme="minorHAnsi"/>
          <w:b/>
          <w:sz w:val="24"/>
          <w:szCs w:val="24"/>
        </w:rPr>
        <w:t>E</w:t>
      </w:r>
      <w:r w:rsidRPr="00063D2B">
        <w:rPr>
          <w:rFonts w:cstheme="minorHAnsi"/>
          <w:b/>
          <w:sz w:val="24"/>
          <w:szCs w:val="24"/>
        </w:rPr>
        <w:t xml:space="preserve"> DELLA MISURA E GESTIONE DEI FINANZIAMENTI</w:t>
      </w:r>
      <w:bookmarkEnd w:id="17"/>
    </w:p>
    <w:p w14:paraId="6D8D8AA4" w14:textId="43F382A9" w:rsidR="0014124B" w:rsidRPr="00063D2B" w:rsidRDefault="0014124B" w:rsidP="008767D3">
      <w:pPr>
        <w:autoSpaceDE w:val="0"/>
        <w:autoSpaceDN w:val="0"/>
        <w:adjustRightInd w:val="0"/>
        <w:spacing w:after="120" w:line="276" w:lineRule="auto"/>
        <w:jc w:val="both"/>
        <w:rPr>
          <w:rFonts w:cstheme="minorHAnsi"/>
        </w:rPr>
      </w:pPr>
      <w:r w:rsidRPr="00063D2B">
        <w:rPr>
          <w:rFonts w:cstheme="minorHAnsi"/>
        </w:rPr>
        <w:t xml:space="preserve">Il soggetto gestore della misura è stato individuato nel Raggruppamento temporaneo di imprese (RTI) denominato “CREDITO FUTURO MARCHE”, aggiudicatario dell’Accordo Quadro sottoscritto in data 19 settembre 2023, composto da UNI.CO. Società Cooperativa, sede legale Via Sandro Totti 4, 60131 Ancona, </w:t>
      </w:r>
      <w:proofErr w:type="spellStart"/>
      <w:r w:rsidRPr="00063D2B">
        <w:rPr>
          <w:rFonts w:cstheme="minorHAnsi"/>
        </w:rPr>
        <w:t>p.iva</w:t>
      </w:r>
      <w:proofErr w:type="spellEnd"/>
      <w:r w:rsidRPr="00063D2B">
        <w:rPr>
          <w:rFonts w:cstheme="minorHAnsi"/>
        </w:rPr>
        <w:t xml:space="preserve"> 01422550424 – mandataria; Banca Agevolarti S.p.A., sede legale Via Crescenzo del Monte, 31 00153 Roma (RM), </w:t>
      </w:r>
      <w:proofErr w:type="spellStart"/>
      <w:r w:rsidRPr="00063D2B">
        <w:rPr>
          <w:rFonts w:cstheme="minorHAnsi"/>
        </w:rPr>
        <w:t>p.iva</w:t>
      </w:r>
      <w:proofErr w:type="spellEnd"/>
      <w:r w:rsidRPr="00063D2B">
        <w:rPr>
          <w:rFonts w:cstheme="minorHAnsi"/>
        </w:rPr>
        <w:t xml:space="preserve"> 10251421003 – mandante; </w:t>
      </w:r>
      <w:proofErr w:type="spellStart"/>
      <w:r w:rsidRPr="00063D2B">
        <w:rPr>
          <w:rFonts w:cstheme="minorHAnsi"/>
        </w:rPr>
        <w:t>Confidicoop</w:t>
      </w:r>
      <w:proofErr w:type="spellEnd"/>
      <w:r w:rsidRPr="00063D2B">
        <w:rPr>
          <w:rFonts w:cstheme="minorHAnsi"/>
        </w:rPr>
        <w:t xml:space="preserve"> Marche </w:t>
      </w:r>
      <w:proofErr w:type="spellStart"/>
      <w:r w:rsidRPr="00063D2B">
        <w:rPr>
          <w:rFonts w:cstheme="minorHAnsi"/>
        </w:rPr>
        <w:t>soc</w:t>
      </w:r>
      <w:proofErr w:type="spellEnd"/>
      <w:r w:rsidRPr="00063D2B">
        <w:rPr>
          <w:rFonts w:cstheme="minorHAnsi"/>
        </w:rPr>
        <w:t xml:space="preserve">. coop, sede legale Via Sandro Totti, 10, 60131, Ancona (AN), </w:t>
      </w:r>
      <w:proofErr w:type="spellStart"/>
      <w:r w:rsidRPr="00063D2B">
        <w:rPr>
          <w:rFonts w:cstheme="minorHAnsi"/>
        </w:rPr>
        <w:t>p.iva</w:t>
      </w:r>
      <w:proofErr w:type="spellEnd"/>
      <w:r w:rsidRPr="00063D2B">
        <w:rPr>
          <w:rFonts w:cstheme="minorHAnsi"/>
        </w:rPr>
        <w:t xml:space="preserve"> 02000860425 – mandante.</w:t>
      </w:r>
    </w:p>
    <w:p w14:paraId="72AB72E5" w14:textId="153930AA" w:rsidR="00D33266" w:rsidRPr="00063D2B" w:rsidRDefault="00296772" w:rsidP="001C59FF">
      <w:pPr>
        <w:pStyle w:val="Titolo2"/>
        <w:rPr>
          <w:rFonts w:cstheme="minorHAnsi"/>
          <w:b/>
          <w:sz w:val="24"/>
          <w:szCs w:val="24"/>
        </w:rPr>
      </w:pPr>
      <w:bookmarkStart w:id="18" w:name="_Toc192061654"/>
      <w:r>
        <w:rPr>
          <w:rFonts w:cstheme="minorHAnsi"/>
          <w:b/>
          <w:sz w:val="24"/>
          <w:szCs w:val="24"/>
        </w:rPr>
        <w:t xml:space="preserve">SIMULAZIONI ED </w:t>
      </w:r>
      <w:r w:rsidR="00D33266" w:rsidRPr="00063D2B">
        <w:rPr>
          <w:rFonts w:cstheme="minorHAnsi"/>
          <w:b/>
          <w:sz w:val="24"/>
          <w:szCs w:val="24"/>
        </w:rPr>
        <w:t>EFFETTO LEVA</w:t>
      </w:r>
      <w:bookmarkEnd w:id="18"/>
    </w:p>
    <w:p w14:paraId="7BC03752" w14:textId="1AA734D4" w:rsidR="004903E9" w:rsidRDefault="004C16F8" w:rsidP="004903E9">
      <w:pPr>
        <w:autoSpaceDE w:val="0"/>
        <w:autoSpaceDN w:val="0"/>
        <w:adjustRightInd w:val="0"/>
        <w:spacing w:after="120" w:line="276" w:lineRule="auto"/>
        <w:jc w:val="both"/>
        <w:rPr>
          <w:rFonts w:cstheme="minorHAnsi"/>
        </w:rPr>
      </w:pPr>
      <w:r w:rsidRPr="00063D2B">
        <w:rPr>
          <w:rFonts w:cstheme="minorHAnsi"/>
        </w:rPr>
        <w:t xml:space="preserve">Per comprendere gli effetti in numeri dell’agevolazione </w:t>
      </w:r>
      <w:r w:rsidR="004903E9">
        <w:rPr>
          <w:rFonts w:cstheme="minorHAnsi"/>
        </w:rPr>
        <w:t>sono riportati nella tabella che segue</w:t>
      </w:r>
      <w:r w:rsidRPr="00063D2B">
        <w:rPr>
          <w:rFonts w:cstheme="minorHAnsi"/>
        </w:rPr>
        <w:t xml:space="preserve"> alcuni esempi</w:t>
      </w:r>
      <w:r w:rsidR="004903E9">
        <w:rPr>
          <w:rFonts w:cstheme="minorHAnsi"/>
        </w:rPr>
        <w:t xml:space="preserve"> sia per le operazioni relative alla Linea A</w:t>
      </w:r>
      <w:r w:rsidR="00FE6F61">
        <w:rPr>
          <w:rFonts w:cstheme="minorHAnsi"/>
        </w:rPr>
        <w:t xml:space="preserve"> (nuove società di capitali)</w:t>
      </w:r>
      <w:r w:rsidR="004903E9">
        <w:rPr>
          <w:rFonts w:cstheme="minorHAnsi"/>
        </w:rPr>
        <w:t xml:space="preserve"> che per la Linea B</w:t>
      </w:r>
      <w:r w:rsidR="00FE6F61">
        <w:rPr>
          <w:rFonts w:cstheme="minorHAnsi"/>
        </w:rPr>
        <w:t xml:space="preserve"> (già costituite come società di capitali)</w:t>
      </w:r>
      <w:r w:rsidR="004903E9">
        <w:rPr>
          <w:rFonts w:cstheme="minorHAnsi"/>
        </w:rPr>
        <w:t>.</w:t>
      </w:r>
      <w:r w:rsidRPr="00063D2B">
        <w:rPr>
          <w:rFonts w:cstheme="minorHAnsi"/>
        </w:rPr>
        <w:t xml:space="preserve"> </w:t>
      </w:r>
    </w:p>
    <w:p w14:paraId="6D226E88" w14:textId="4BDDA586" w:rsidR="00AF163A" w:rsidRPr="000C6BCD" w:rsidRDefault="00AF163A" w:rsidP="00AF163A">
      <w:pPr>
        <w:autoSpaceDE w:val="0"/>
        <w:autoSpaceDN w:val="0"/>
        <w:adjustRightInd w:val="0"/>
        <w:spacing w:after="120" w:line="276" w:lineRule="auto"/>
        <w:jc w:val="both"/>
        <w:rPr>
          <w:rFonts w:cstheme="minorHAnsi"/>
        </w:rPr>
      </w:pPr>
      <w:r w:rsidRPr="00320F72">
        <w:rPr>
          <w:rFonts w:cstheme="minorHAnsi"/>
        </w:rPr>
        <w:t xml:space="preserve">Relativamente alla </w:t>
      </w:r>
      <w:r w:rsidRPr="00DC0B61">
        <w:rPr>
          <w:rFonts w:cstheme="minorHAnsi"/>
          <w:b/>
          <w:i/>
          <w:iCs/>
        </w:rPr>
        <w:t>Linea A</w:t>
      </w:r>
      <w:r w:rsidRPr="00320F72">
        <w:rPr>
          <w:rFonts w:cstheme="minorHAnsi"/>
        </w:rPr>
        <w:t xml:space="preserve"> ipotizzando un aumento di capitale di 25.000,00 € [a] il contributo a fondo perduto è di 7.500,00 € [c]. Sul rimanente importo di 17.500,00 € l’impresa riceverà un finanziamento fino al massimo (</w:t>
      </w:r>
      <w:r w:rsidR="008821A7" w:rsidRPr="00320F72">
        <w:rPr>
          <w:rFonts w:cstheme="minorHAnsi"/>
        </w:rPr>
        <w:t>75</w:t>
      </w:r>
      <w:r w:rsidRPr="00320F72">
        <w:rPr>
          <w:rFonts w:cstheme="minorHAnsi"/>
        </w:rPr>
        <w:t xml:space="preserve">%) di </w:t>
      </w:r>
      <w:r w:rsidR="008821A7" w:rsidRPr="00320F72">
        <w:rPr>
          <w:rFonts w:cstheme="minorHAnsi"/>
        </w:rPr>
        <w:t>13.125</w:t>
      </w:r>
      <w:r w:rsidRPr="00320F72">
        <w:rPr>
          <w:rFonts w:cstheme="minorHAnsi"/>
        </w:rPr>
        <w:t xml:space="preserve">,00 € [d] agevolato dallo SF e dai </w:t>
      </w:r>
      <w:r w:rsidRPr="00320F72">
        <w:rPr>
          <w:rFonts w:eastAsiaTheme="minorEastAsia" w:cstheme="minorHAnsi"/>
        </w:rPr>
        <w:t xml:space="preserve">contributi in c/interessi [e] e c/oneri garanzia [f]. I restanti </w:t>
      </w:r>
      <w:r w:rsidR="008821A7" w:rsidRPr="00320F72">
        <w:rPr>
          <w:rFonts w:eastAsiaTheme="minorEastAsia" w:cstheme="minorHAnsi"/>
        </w:rPr>
        <w:t>4.375</w:t>
      </w:r>
      <w:r w:rsidRPr="00320F72">
        <w:rPr>
          <w:rFonts w:eastAsiaTheme="minorEastAsia" w:cstheme="minorHAnsi"/>
        </w:rPr>
        <w:t>,00 € (</w:t>
      </w:r>
      <w:r w:rsidR="008821A7" w:rsidRPr="00320F72">
        <w:rPr>
          <w:rFonts w:eastAsiaTheme="minorEastAsia" w:cstheme="minorHAnsi"/>
        </w:rPr>
        <w:t>25</w:t>
      </w:r>
      <w:r w:rsidRPr="00320F72">
        <w:rPr>
          <w:rFonts w:eastAsiaTheme="minorEastAsia" w:cstheme="minorHAnsi"/>
        </w:rPr>
        <w:t>%) sono a carico di risorse proprie dell’impresa o derivanti da finanziamento bancario senza agevolazione.</w:t>
      </w:r>
      <w:r w:rsidR="00E25BC2" w:rsidRPr="00320F72">
        <w:rPr>
          <w:rFonts w:eastAsiaTheme="minorEastAsia" w:cstheme="minorHAnsi"/>
        </w:rPr>
        <w:t xml:space="preserve"> </w:t>
      </w:r>
      <w:r w:rsidRPr="00320F72">
        <w:rPr>
          <w:rFonts w:cstheme="minorHAnsi"/>
        </w:rPr>
        <w:t xml:space="preserve">L’importo del contributo totale [h] è di </w:t>
      </w:r>
      <w:r w:rsidR="00B97102" w:rsidRPr="00320F72">
        <w:rPr>
          <w:rFonts w:cstheme="minorHAnsi"/>
        </w:rPr>
        <w:t>10.281</w:t>
      </w:r>
      <w:r w:rsidRPr="00320F72">
        <w:rPr>
          <w:rFonts w:cstheme="minorHAnsi"/>
        </w:rPr>
        <w:t>,</w:t>
      </w:r>
      <w:r w:rsidR="00B97102" w:rsidRPr="00320F72">
        <w:rPr>
          <w:rFonts w:cstheme="minorHAnsi"/>
        </w:rPr>
        <w:t xml:space="preserve">13 </w:t>
      </w:r>
      <w:r w:rsidRPr="00320F72">
        <w:rPr>
          <w:rFonts w:cstheme="minorHAnsi"/>
        </w:rPr>
        <w:t xml:space="preserve">€ mentre l’importo </w:t>
      </w:r>
      <w:r w:rsidR="00F47EEE" w:rsidRPr="00320F72">
        <w:rPr>
          <w:rFonts w:cstheme="minorHAnsi"/>
        </w:rPr>
        <w:t xml:space="preserve">della </w:t>
      </w:r>
      <w:r w:rsidRPr="00320F72">
        <w:rPr>
          <w:rFonts w:cstheme="minorHAnsi"/>
        </w:rPr>
        <w:t>spesa</w:t>
      </w:r>
      <w:r w:rsidR="00F47EEE" w:rsidRPr="00320F72">
        <w:rPr>
          <w:rFonts w:cstheme="minorHAnsi"/>
        </w:rPr>
        <w:t xml:space="preserve"> complessiva del </w:t>
      </w:r>
      <w:r w:rsidRPr="00320F72">
        <w:rPr>
          <w:rFonts w:cstheme="minorHAnsi"/>
        </w:rPr>
        <w:t>Fondo per</w:t>
      </w:r>
      <w:r w:rsidR="0089133C" w:rsidRPr="00320F72">
        <w:rPr>
          <w:rFonts w:cstheme="minorHAnsi"/>
        </w:rPr>
        <w:t xml:space="preserve"> ogni</w:t>
      </w:r>
      <w:r w:rsidRPr="00320F72">
        <w:rPr>
          <w:rFonts w:cstheme="minorHAnsi"/>
        </w:rPr>
        <w:t xml:space="preserve"> singola operazione</w:t>
      </w:r>
      <w:r w:rsidR="001200D0" w:rsidRPr="00320F72">
        <w:rPr>
          <w:rFonts w:cstheme="minorHAnsi"/>
        </w:rPr>
        <w:t xml:space="preserve"> [l]</w:t>
      </w:r>
      <w:r w:rsidRPr="00320F72">
        <w:rPr>
          <w:rFonts w:cstheme="minorHAnsi"/>
        </w:rPr>
        <w:t xml:space="preserve"> è di 9.</w:t>
      </w:r>
      <w:r w:rsidR="00320F72" w:rsidRPr="00320F72">
        <w:rPr>
          <w:rFonts w:cstheme="minorHAnsi"/>
        </w:rPr>
        <w:t>729</w:t>
      </w:r>
      <w:r w:rsidRPr="00320F72">
        <w:rPr>
          <w:rFonts w:cstheme="minorHAnsi"/>
        </w:rPr>
        <w:t>,</w:t>
      </w:r>
      <w:r w:rsidR="00320F72" w:rsidRPr="00320F72">
        <w:rPr>
          <w:rFonts w:cstheme="minorHAnsi"/>
        </w:rPr>
        <w:t xml:space="preserve">88 </w:t>
      </w:r>
      <w:r w:rsidRPr="00320F72">
        <w:rPr>
          <w:rFonts w:cstheme="minorHAnsi"/>
        </w:rPr>
        <w:t>€</w:t>
      </w:r>
      <w:r w:rsidR="00467A20" w:rsidRPr="00320F72">
        <w:rPr>
          <w:rFonts w:cstheme="minorHAnsi"/>
        </w:rPr>
        <w:t>.</w:t>
      </w:r>
      <w:r w:rsidR="001200D0" w:rsidRPr="00320F72">
        <w:rPr>
          <w:rFonts w:cstheme="minorHAnsi"/>
        </w:rPr>
        <w:t xml:space="preserve"> Il rapporto tra l’importo della spesa del Fondo sull’aumento di capitale realizzato [m] è il </w:t>
      </w:r>
      <w:r w:rsidR="00320F72" w:rsidRPr="00320F72">
        <w:rPr>
          <w:rFonts w:cstheme="minorHAnsi"/>
        </w:rPr>
        <w:t>38</w:t>
      </w:r>
      <w:r w:rsidR="001200D0" w:rsidRPr="00320F72">
        <w:rPr>
          <w:rFonts w:cstheme="minorHAnsi"/>
        </w:rPr>
        <w:t>,</w:t>
      </w:r>
      <w:r w:rsidR="00320F72" w:rsidRPr="00320F72">
        <w:rPr>
          <w:rFonts w:cstheme="minorHAnsi"/>
        </w:rPr>
        <w:t xml:space="preserve">92 </w:t>
      </w:r>
      <w:r w:rsidR="001200D0" w:rsidRPr="00320F72">
        <w:rPr>
          <w:rFonts w:cstheme="minorHAnsi"/>
        </w:rPr>
        <w:t>%.</w:t>
      </w:r>
    </w:p>
    <w:p w14:paraId="1F7DC724" w14:textId="72ADCF20" w:rsidR="00B923E2" w:rsidRPr="000C6BCD" w:rsidRDefault="00654F3B" w:rsidP="00516367">
      <w:pPr>
        <w:autoSpaceDE w:val="0"/>
        <w:autoSpaceDN w:val="0"/>
        <w:adjustRightInd w:val="0"/>
        <w:spacing w:after="120" w:line="276" w:lineRule="auto"/>
        <w:rPr>
          <w:rFonts w:cstheme="minorHAnsi"/>
        </w:rPr>
      </w:pPr>
      <w:r w:rsidRPr="000C6BCD">
        <w:rPr>
          <w:rFonts w:cstheme="minorHAnsi"/>
        </w:rPr>
        <w:t xml:space="preserve">In riferimento alla </w:t>
      </w:r>
      <w:r w:rsidRPr="00DC0B61">
        <w:rPr>
          <w:rFonts w:cstheme="minorHAnsi"/>
          <w:b/>
          <w:i/>
          <w:iCs/>
        </w:rPr>
        <w:t>Linea B</w:t>
      </w:r>
      <w:r w:rsidRPr="000C6BCD">
        <w:rPr>
          <w:rFonts w:cstheme="minorHAnsi"/>
        </w:rPr>
        <w:t xml:space="preserve"> </w:t>
      </w:r>
      <w:r w:rsidR="008617D0">
        <w:rPr>
          <w:rFonts w:cstheme="minorHAnsi"/>
        </w:rPr>
        <w:t>se si ipotizza</w:t>
      </w:r>
      <w:r w:rsidRPr="000C6BCD">
        <w:rPr>
          <w:rFonts w:cstheme="minorHAnsi"/>
        </w:rPr>
        <w:t xml:space="preserve"> un aumento di capitale di </w:t>
      </w:r>
      <w:r w:rsidR="00AF163A" w:rsidRPr="000C6BCD">
        <w:rPr>
          <w:rFonts w:cstheme="minorHAnsi"/>
        </w:rPr>
        <w:t>30</w:t>
      </w:r>
      <w:r w:rsidRPr="000C6BCD">
        <w:rPr>
          <w:rFonts w:cstheme="minorHAnsi"/>
        </w:rPr>
        <w:t xml:space="preserve">.000,00 € [a] il contributo a fondo perduto è di 6.000,00 € [c]. Sul restante importo di 24.000,00 € l’impresa riceverà un finanziamento fino al </w:t>
      </w:r>
      <w:r w:rsidR="009F6EEF" w:rsidRPr="000C6BCD">
        <w:rPr>
          <w:rFonts w:cstheme="minorHAnsi"/>
        </w:rPr>
        <w:t>massimo</w:t>
      </w:r>
      <w:r w:rsidRPr="000C6BCD">
        <w:rPr>
          <w:rFonts w:cstheme="minorHAnsi"/>
        </w:rPr>
        <w:t xml:space="preserve"> </w:t>
      </w:r>
      <w:r w:rsidR="009F6EEF" w:rsidRPr="000C6BCD">
        <w:rPr>
          <w:rFonts w:cstheme="minorHAnsi"/>
        </w:rPr>
        <w:t xml:space="preserve">(50%) </w:t>
      </w:r>
      <w:r w:rsidRPr="000C6BCD">
        <w:rPr>
          <w:rFonts w:cstheme="minorHAnsi"/>
        </w:rPr>
        <w:t>di 12.000,00 €</w:t>
      </w:r>
      <w:r w:rsidR="009F6EEF" w:rsidRPr="000C6BCD">
        <w:rPr>
          <w:rFonts w:cstheme="minorHAnsi"/>
        </w:rPr>
        <w:t xml:space="preserve"> [d] agevolato dallo SF e dai </w:t>
      </w:r>
      <w:r w:rsidR="009F6EEF" w:rsidRPr="000C6BCD">
        <w:rPr>
          <w:rFonts w:eastAsiaTheme="minorEastAsia" w:cstheme="minorHAnsi"/>
        </w:rPr>
        <w:t>contributi in c/interessi [e] e c/oneri garanzia [f].</w:t>
      </w:r>
      <w:r w:rsidR="00B923E2" w:rsidRPr="000C6BCD">
        <w:rPr>
          <w:rFonts w:eastAsiaTheme="minorEastAsia" w:cstheme="minorHAnsi"/>
        </w:rPr>
        <w:t xml:space="preserve"> </w:t>
      </w:r>
      <w:r w:rsidR="009F6EEF" w:rsidRPr="000C6BCD">
        <w:rPr>
          <w:rFonts w:eastAsiaTheme="minorEastAsia" w:cstheme="minorHAnsi"/>
        </w:rPr>
        <w:t>I restanti 12.000,00 € (50%) sono a carico di risorse proprie dell’impresa o derivanti da finanziamento bancario senza agevolazione.</w:t>
      </w:r>
      <w:r w:rsidR="00E25BC2">
        <w:rPr>
          <w:rFonts w:eastAsiaTheme="minorEastAsia" w:cstheme="minorHAnsi"/>
        </w:rPr>
        <w:t xml:space="preserve"> </w:t>
      </w:r>
      <w:r w:rsidR="00B923E2" w:rsidRPr="000C6BCD">
        <w:rPr>
          <w:rFonts w:cstheme="minorHAnsi"/>
        </w:rPr>
        <w:t>L’importo del contributo totale [h] è di 8.585,60 € mentre l’importo</w:t>
      </w:r>
      <w:r w:rsidR="00F47EEE">
        <w:rPr>
          <w:rFonts w:cstheme="minorHAnsi"/>
        </w:rPr>
        <w:t xml:space="preserve"> della</w:t>
      </w:r>
      <w:r w:rsidR="00B923E2" w:rsidRPr="000C6BCD">
        <w:rPr>
          <w:rFonts w:cstheme="minorHAnsi"/>
        </w:rPr>
        <w:t xml:space="preserve"> spesa</w:t>
      </w:r>
      <w:r w:rsidR="00F47EEE">
        <w:rPr>
          <w:rFonts w:cstheme="minorHAnsi"/>
        </w:rPr>
        <w:t xml:space="preserve"> complessiva del</w:t>
      </w:r>
      <w:r w:rsidR="00B923E2" w:rsidRPr="000C6BCD">
        <w:rPr>
          <w:rFonts w:cstheme="minorHAnsi"/>
        </w:rPr>
        <w:t xml:space="preserve"> Fondo per </w:t>
      </w:r>
      <w:r w:rsidR="0089133C">
        <w:rPr>
          <w:rFonts w:cstheme="minorHAnsi"/>
        </w:rPr>
        <w:t xml:space="preserve">ogni </w:t>
      </w:r>
      <w:r w:rsidR="00B923E2" w:rsidRPr="000C6BCD">
        <w:rPr>
          <w:rFonts w:cstheme="minorHAnsi"/>
        </w:rPr>
        <w:t xml:space="preserve">singola operazione </w:t>
      </w:r>
      <w:r w:rsidR="001200D0">
        <w:rPr>
          <w:rFonts w:cstheme="minorHAnsi"/>
        </w:rPr>
        <w:t xml:space="preserve">[l] </w:t>
      </w:r>
      <w:r w:rsidR="00B923E2" w:rsidRPr="000C6BCD">
        <w:rPr>
          <w:rFonts w:cstheme="minorHAnsi"/>
        </w:rPr>
        <w:t>è di 8.081,60 €</w:t>
      </w:r>
      <w:r w:rsidR="00467A20">
        <w:rPr>
          <w:rFonts w:cstheme="minorHAnsi"/>
        </w:rPr>
        <w:t>.</w:t>
      </w:r>
      <w:r w:rsidR="001200D0">
        <w:rPr>
          <w:rFonts w:cstheme="minorHAnsi"/>
        </w:rPr>
        <w:t xml:space="preserve"> Il rapporto tra l’i</w:t>
      </w:r>
      <w:r w:rsidR="001200D0" w:rsidRPr="001200D0">
        <w:rPr>
          <w:rFonts w:cstheme="minorHAnsi"/>
        </w:rPr>
        <w:t xml:space="preserve">mporto </w:t>
      </w:r>
      <w:r w:rsidR="001200D0">
        <w:rPr>
          <w:rFonts w:cstheme="minorHAnsi"/>
        </w:rPr>
        <w:t xml:space="preserve">della </w:t>
      </w:r>
      <w:r w:rsidR="001200D0" w:rsidRPr="001200D0">
        <w:rPr>
          <w:rFonts w:cstheme="minorHAnsi"/>
        </w:rPr>
        <w:t>spesa</w:t>
      </w:r>
      <w:r w:rsidR="001200D0">
        <w:rPr>
          <w:rFonts w:cstheme="minorHAnsi"/>
        </w:rPr>
        <w:t xml:space="preserve"> del</w:t>
      </w:r>
      <w:r w:rsidR="001200D0" w:rsidRPr="001200D0">
        <w:rPr>
          <w:rFonts w:cstheme="minorHAnsi"/>
        </w:rPr>
        <w:t xml:space="preserve"> Fondo su</w:t>
      </w:r>
      <w:r w:rsidR="001200D0">
        <w:rPr>
          <w:rFonts w:cstheme="minorHAnsi"/>
        </w:rPr>
        <w:t>ll’</w:t>
      </w:r>
      <w:r w:rsidR="001200D0" w:rsidRPr="001200D0">
        <w:rPr>
          <w:rFonts w:cstheme="minorHAnsi"/>
        </w:rPr>
        <w:t xml:space="preserve">aumento </w:t>
      </w:r>
      <w:r w:rsidR="001200D0">
        <w:rPr>
          <w:rFonts w:cstheme="minorHAnsi"/>
        </w:rPr>
        <w:t xml:space="preserve">di </w:t>
      </w:r>
      <w:r w:rsidR="001200D0" w:rsidRPr="001200D0">
        <w:rPr>
          <w:rFonts w:cstheme="minorHAnsi"/>
        </w:rPr>
        <w:t>capitale</w:t>
      </w:r>
      <w:r w:rsidR="001200D0">
        <w:rPr>
          <w:rFonts w:cstheme="minorHAnsi"/>
        </w:rPr>
        <w:t xml:space="preserve"> realizzato [m] è il </w:t>
      </w:r>
      <w:r w:rsidR="001200D0" w:rsidRPr="001200D0">
        <w:rPr>
          <w:rFonts w:cstheme="minorHAnsi"/>
        </w:rPr>
        <w:t>26,94 %%</w:t>
      </w:r>
      <w:r w:rsidR="001200D0">
        <w:rPr>
          <w:rFonts w:cstheme="minorHAnsi"/>
        </w:rPr>
        <w:t>.</w:t>
      </w:r>
      <w:r w:rsidR="00467A20">
        <w:rPr>
          <w:rFonts w:cstheme="minorHAnsi"/>
        </w:rPr>
        <w:t xml:space="preserve"> Nella tabella che segue è, inoltre, riportata un’ulteriore simulazione sulla Linea B che contempla un aumento di capitale di 150 mila euro.</w:t>
      </w:r>
    </w:p>
    <w:p w14:paraId="3315FC88" w14:textId="7C332C54" w:rsidR="004C16F8" w:rsidRPr="00EE2A3F" w:rsidRDefault="00EE2A3F" w:rsidP="00EE2A3F">
      <w:pPr>
        <w:spacing w:after="0" w:line="240" w:lineRule="auto"/>
        <w:jc w:val="both"/>
        <w:rPr>
          <w:rFonts w:eastAsia="Aptos" w:cstheme="minorHAnsi"/>
          <w:i/>
          <w:iCs/>
          <w:kern w:val="2"/>
          <w:sz w:val="20"/>
          <w:szCs w:val="20"/>
          <w14:ligatures w14:val="standardContextual"/>
        </w:rPr>
      </w:pPr>
      <w:proofErr w:type="spellStart"/>
      <w:r>
        <w:rPr>
          <w:rFonts w:eastAsia="Aptos" w:cstheme="minorHAnsi"/>
          <w:i/>
          <w:iCs/>
          <w:kern w:val="2"/>
          <w:sz w:val="20"/>
          <w:szCs w:val="20"/>
          <w14:ligatures w14:val="standardContextual"/>
        </w:rPr>
        <w:t>Tab</w:t>
      </w:r>
      <w:proofErr w:type="spellEnd"/>
      <w:r>
        <w:rPr>
          <w:rFonts w:eastAsia="Aptos" w:cstheme="minorHAnsi"/>
          <w:i/>
          <w:iCs/>
          <w:kern w:val="2"/>
          <w:sz w:val="20"/>
          <w:szCs w:val="20"/>
          <w14:ligatures w14:val="standardContextual"/>
        </w:rPr>
        <w:t xml:space="preserve">. 10 </w:t>
      </w:r>
      <w:r w:rsidR="00F4624A" w:rsidRPr="00EE2A3F">
        <w:rPr>
          <w:rFonts w:eastAsia="Aptos" w:cstheme="minorHAnsi"/>
          <w:i/>
          <w:iCs/>
          <w:kern w:val="2"/>
          <w:sz w:val="20"/>
          <w:szCs w:val="20"/>
          <w14:ligatures w14:val="standardContextual"/>
        </w:rPr>
        <w:t>S</w:t>
      </w:r>
      <w:r w:rsidR="004C16F8" w:rsidRPr="00EE2A3F">
        <w:rPr>
          <w:rFonts w:eastAsia="Aptos" w:cstheme="minorHAnsi"/>
          <w:i/>
          <w:iCs/>
          <w:kern w:val="2"/>
          <w:sz w:val="20"/>
          <w:szCs w:val="20"/>
          <w14:ligatures w14:val="standardContextual"/>
        </w:rPr>
        <w:t>imulazioni (in funzione dell’aumento di capitale effettuato):</w:t>
      </w:r>
    </w:p>
    <w:tbl>
      <w:tblPr>
        <w:tblStyle w:val="Grigliatabella"/>
        <w:tblW w:w="0" w:type="auto"/>
        <w:jc w:val="center"/>
        <w:tblLook w:val="04A0" w:firstRow="1" w:lastRow="0" w:firstColumn="1" w:lastColumn="0" w:noHBand="0" w:noVBand="1"/>
      </w:tblPr>
      <w:tblGrid>
        <w:gridCol w:w="3910"/>
        <w:gridCol w:w="1936"/>
        <w:gridCol w:w="1214"/>
        <w:gridCol w:w="1214"/>
        <w:gridCol w:w="1354"/>
      </w:tblGrid>
      <w:tr w:rsidR="00B70A95" w:rsidRPr="005E5068" w14:paraId="66136307" w14:textId="77777777" w:rsidTr="001E631D">
        <w:trPr>
          <w:tblHeader/>
          <w:jc w:val="center"/>
        </w:trPr>
        <w:tc>
          <w:tcPr>
            <w:tcW w:w="3910" w:type="dxa"/>
            <w:shd w:val="clear" w:color="auto" w:fill="2F5496" w:themeFill="accent1" w:themeFillShade="BF"/>
          </w:tcPr>
          <w:p w14:paraId="6D85CEF6" w14:textId="77777777" w:rsidR="00B70A95" w:rsidRPr="008821A7" w:rsidRDefault="00B70A95" w:rsidP="00F4624A">
            <w:pPr>
              <w:autoSpaceDE w:val="0"/>
              <w:autoSpaceDN w:val="0"/>
              <w:adjustRightInd w:val="0"/>
              <w:jc w:val="center"/>
              <w:rPr>
                <w:rFonts w:cstheme="minorHAnsi"/>
                <w:b/>
                <w:color w:val="FFFFFF" w:themeColor="background1"/>
                <w:sz w:val="20"/>
                <w:szCs w:val="20"/>
              </w:rPr>
            </w:pPr>
            <w:r w:rsidRPr="008821A7">
              <w:rPr>
                <w:rFonts w:cstheme="minorHAnsi"/>
                <w:b/>
                <w:color w:val="FFFFFF" w:themeColor="background1"/>
                <w:sz w:val="20"/>
                <w:szCs w:val="20"/>
              </w:rPr>
              <w:t>Voce</w:t>
            </w:r>
          </w:p>
        </w:tc>
        <w:tc>
          <w:tcPr>
            <w:tcW w:w="1936" w:type="dxa"/>
            <w:shd w:val="clear" w:color="auto" w:fill="2F5496" w:themeFill="accent1" w:themeFillShade="BF"/>
          </w:tcPr>
          <w:p w14:paraId="408FE8FB" w14:textId="3F64AD33" w:rsidR="00B70A95" w:rsidRPr="008821A7" w:rsidRDefault="00B70A95" w:rsidP="00F4624A">
            <w:pPr>
              <w:autoSpaceDE w:val="0"/>
              <w:autoSpaceDN w:val="0"/>
              <w:adjustRightInd w:val="0"/>
              <w:jc w:val="center"/>
              <w:rPr>
                <w:rFonts w:cstheme="minorHAnsi"/>
                <w:b/>
                <w:color w:val="FFFFFF" w:themeColor="background1"/>
                <w:sz w:val="20"/>
                <w:szCs w:val="20"/>
              </w:rPr>
            </w:pPr>
            <w:r w:rsidRPr="008821A7">
              <w:rPr>
                <w:rFonts w:cstheme="minorHAnsi"/>
                <w:b/>
                <w:color w:val="FFFFFF" w:themeColor="background1"/>
                <w:sz w:val="20"/>
                <w:szCs w:val="20"/>
              </w:rPr>
              <w:t>Modalità calcolo</w:t>
            </w:r>
          </w:p>
        </w:tc>
        <w:tc>
          <w:tcPr>
            <w:tcW w:w="1214" w:type="dxa"/>
            <w:shd w:val="clear" w:color="auto" w:fill="2F5496" w:themeFill="accent1" w:themeFillShade="BF"/>
          </w:tcPr>
          <w:p w14:paraId="4161A03D" w14:textId="677CFA01" w:rsidR="00B70A95" w:rsidRPr="008821A7" w:rsidRDefault="00B70A95" w:rsidP="00F4624A">
            <w:pPr>
              <w:autoSpaceDE w:val="0"/>
              <w:autoSpaceDN w:val="0"/>
              <w:adjustRightInd w:val="0"/>
              <w:jc w:val="center"/>
              <w:rPr>
                <w:rFonts w:cstheme="minorHAnsi"/>
                <w:b/>
                <w:color w:val="FFFFFF" w:themeColor="background1"/>
                <w:sz w:val="20"/>
                <w:szCs w:val="20"/>
              </w:rPr>
            </w:pPr>
            <w:r w:rsidRPr="008821A7">
              <w:rPr>
                <w:rFonts w:cstheme="minorHAnsi"/>
                <w:b/>
                <w:color w:val="FFFFFF" w:themeColor="background1"/>
                <w:sz w:val="20"/>
                <w:szCs w:val="20"/>
              </w:rPr>
              <w:t>Linea A</w:t>
            </w:r>
          </w:p>
        </w:tc>
        <w:tc>
          <w:tcPr>
            <w:tcW w:w="1214" w:type="dxa"/>
            <w:shd w:val="clear" w:color="auto" w:fill="2F5496" w:themeFill="accent1" w:themeFillShade="BF"/>
          </w:tcPr>
          <w:p w14:paraId="594D1B27" w14:textId="77777777" w:rsidR="00B70A95" w:rsidRPr="008821A7" w:rsidRDefault="00B70A95" w:rsidP="00F4624A">
            <w:pPr>
              <w:autoSpaceDE w:val="0"/>
              <w:autoSpaceDN w:val="0"/>
              <w:adjustRightInd w:val="0"/>
              <w:jc w:val="center"/>
              <w:rPr>
                <w:rFonts w:cstheme="minorHAnsi"/>
                <w:b/>
                <w:color w:val="FFFFFF" w:themeColor="background1"/>
                <w:sz w:val="20"/>
                <w:szCs w:val="20"/>
              </w:rPr>
            </w:pPr>
            <w:r w:rsidRPr="008821A7">
              <w:rPr>
                <w:rFonts w:cstheme="minorHAnsi"/>
                <w:b/>
                <w:color w:val="FFFFFF" w:themeColor="background1"/>
                <w:sz w:val="20"/>
                <w:szCs w:val="20"/>
              </w:rPr>
              <w:t>Linea B</w:t>
            </w:r>
          </w:p>
        </w:tc>
        <w:tc>
          <w:tcPr>
            <w:tcW w:w="1354" w:type="dxa"/>
            <w:shd w:val="clear" w:color="auto" w:fill="2F5496" w:themeFill="accent1" w:themeFillShade="BF"/>
          </w:tcPr>
          <w:p w14:paraId="7E177C95" w14:textId="77777777" w:rsidR="00B70A95" w:rsidRPr="008821A7" w:rsidRDefault="00B70A95" w:rsidP="00F4624A">
            <w:pPr>
              <w:autoSpaceDE w:val="0"/>
              <w:autoSpaceDN w:val="0"/>
              <w:adjustRightInd w:val="0"/>
              <w:jc w:val="center"/>
              <w:rPr>
                <w:rFonts w:cstheme="minorHAnsi"/>
                <w:b/>
                <w:color w:val="FFFFFF" w:themeColor="background1"/>
                <w:sz w:val="20"/>
                <w:szCs w:val="20"/>
              </w:rPr>
            </w:pPr>
            <w:r w:rsidRPr="008821A7">
              <w:rPr>
                <w:rFonts w:cstheme="minorHAnsi"/>
                <w:b/>
                <w:color w:val="FFFFFF" w:themeColor="background1"/>
                <w:sz w:val="20"/>
                <w:szCs w:val="20"/>
              </w:rPr>
              <w:t>Linea B</w:t>
            </w:r>
          </w:p>
        </w:tc>
      </w:tr>
      <w:tr w:rsidR="00B70A95" w:rsidRPr="005E5068" w14:paraId="5BD2CFB2" w14:textId="77777777" w:rsidTr="001E631D">
        <w:trPr>
          <w:trHeight w:val="178"/>
          <w:jc w:val="center"/>
        </w:trPr>
        <w:tc>
          <w:tcPr>
            <w:tcW w:w="3910" w:type="dxa"/>
            <w:vAlign w:val="center"/>
          </w:tcPr>
          <w:p w14:paraId="10CAE9F9" w14:textId="15AA5AB3" w:rsidR="00B70A95" w:rsidRPr="008821A7" w:rsidRDefault="00B70A95" w:rsidP="00B70A95">
            <w:pPr>
              <w:autoSpaceDE w:val="0"/>
              <w:autoSpaceDN w:val="0"/>
              <w:adjustRightInd w:val="0"/>
              <w:rPr>
                <w:rFonts w:cstheme="minorHAnsi"/>
                <w:sz w:val="18"/>
                <w:szCs w:val="18"/>
              </w:rPr>
            </w:pPr>
            <w:r w:rsidRPr="008821A7">
              <w:rPr>
                <w:rFonts w:cstheme="minorHAnsi"/>
                <w:sz w:val="18"/>
                <w:szCs w:val="18"/>
              </w:rPr>
              <w:t>[a] Aumento di capitale (min. 25K A/30K B)</w:t>
            </w:r>
          </w:p>
        </w:tc>
        <w:tc>
          <w:tcPr>
            <w:tcW w:w="1936" w:type="dxa"/>
            <w:vAlign w:val="center"/>
          </w:tcPr>
          <w:p w14:paraId="015ABA78" w14:textId="1757E0AB" w:rsidR="00B70A95" w:rsidRPr="008821A7" w:rsidRDefault="0089133C" w:rsidP="00B70A95">
            <w:pPr>
              <w:autoSpaceDE w:val="0"/>
              <w:autoSpaceDN w:val="0"/>
              <w:adjustRightInd w:val="0"/>
              <w:jc w:val="center"/>
              <w:rPr>
                <w:rFonts w:cstheme="minorHAnsi"/>
                <w:i/>
                <w:iCs/>
                <w:sz w:val="18"/>
                <w:szCs w:val="18"/>
              </w:rPr>
            </w:pPr>
            <w:r w:rsidRPr="008821A7">
              <w:rPr>
                <w:rFonts w:cstheme="minorHAnsi"/>
                <w:i/>
                <w:iCs/>
                <w:sz w:val="18"/>
                <w:szCs w:val="18"/>
              </w:rPr>
              <w:t>Valore ipotizzato</w:t>
            </w:r>
          </w:p>
        </w:tc>
        <w:tc>
          <w:tcPr>
            <w:tcW w:w="1214" w:type="dxa"/>
            <w:vAlign w:val="center"/>
          </w:tcPr>
          <w:p w14:paraId="537EB48C" w14:textId="6BE9BF3F"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25.000,00 €</w:t>
            </w:r>
          </w:p>
        </w:tc>
        <w:tc>
          <w:tcPr>
            <w:tcW w:w="1214" w:type="dxa"/>
            <w:vAlign w:val="center"/>
          </w:tcPr>
          <w:p w14:paraId="3EE13673" w14:textId="2D860236"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30.000,00 €</w:t>
            </w:r>
          </w:p>
        </w:tc>
        <w:tc>
          <w:tcPr>
            <w:tcW w:w="1354" w:type="dxa"/>
            <w:vAlign w:val="center"/>
          </w:tcPr>
          <w:p w14:paraId="60F2C094" w14:textId="364EBA6A"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150.000,00 €</w:t>
            </w:r>
          </w:p>
        </w:tc>
      </w:tr>
      <w:tr w:rsidR="00B70A95" w:rsidRPr="005E5068" w14:paraId="3B92CD79" w14:textId="77777777" w:rsidTr="001E631D">
        <w:trPr>
          <w:jc w:val="center"/>
        </w:trPr>
        <w:tc>
          <w:tcPr>
            <w:tcW w:w="3910" w:type="dxa"/>
            <w:vAlign w:val="center"/>
          </w:tcPr>
          <w:p w14:paraId="4176C903" w14:textId="3D2B3210" w:rsidR="00B70A95" w:rsidRPr="008821A7" w:rsidRDefault="00B70A95" w:rsidP="00B70A95">
            <w:pPr>
              <w:autoSpaceDE w:val="0"/>
              <w:autoSpaceDN w:val="0"/>
              <w:adjustRightInd w:val="0"/>
              <w:rPr>
                <w:rFonts w:cstheme="minorHAnsi"/>
                <w:sz w:val="18"/>
                <w:szCs w:val="18"/>
              </w:rPr>
            </w:pPr>
            <w:r w:rsidRPr="008821A7">
              <w:rPr>
                <w:rFonts w:cstheme="minorHAnsi"/>
                <w:sz w:val="18"/>
                <w:szCs w:val="18"/>
              </w:rPr>
              <w:t>[b] Percentuale contributo c/investimenti</w:t>
            </w:r>
          </w:p>
        </w:tc>
        <w:tc>
          <w:tcPr>
            <w:tcW w:w="1936" w:type="dxa"/>
            <w:vAlign w:val="center"/>
          </w:tcPr>
          <w:p w14:paraId="52D47732" w14:textId="37AE43DA" w:rsidR="00B70A95" w:rsidRPr="008821A7" w:rsidRDefault="0089133C" w:rsidP="00B70A95">
            <w:pPr>
              <w:autoSpaceDE w:val="0"/>
              <w:autoSpaceDN w:val="0"/>
              <w:adjustRightInd w:val="0"/>
              <w:jc w:val="center"/>
              <w:rPr>
                <w:rFonts w:cstheme="minorHAnsi"/>
                <w:i/>
                <w:iCs/>
                <w:sz w:val="18"/>
                <w:szCs w:val="18"/>
              </w:rPr>
            </w:pPr>
            <w:r w:rsidRPr="008821A7">
              <w:rPr>
                <w:rFonts w:cstheme="minorHAnsi"/>
                <w:i/>
                <w:iCs/>
                <w:sz w:val="18"/>
                <w:szCs w:val="18"/>
              </w:rPr>
              <w:t>Valore dato</w:t>
            </w:r>
          </w:p>
        </w:tc>
        <w:tc>
          <w:tcPr>
            <w:tcW w:w="1214" w:type="dxa"/>
            <w:vAlign w:val="center"/>
          </w:tcPr>
          <w:p w14:paraId="050A60C5" w14:textId="10B03456"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30,00%</w:t>
            </w:r>
          </w:p>
        </w:tc>
        <w:tc>
          <w:tcPr>
            <w:tcW w:w="1214" w:type="dxa"/>
            <w:vAlign w:val="center"/>
          </w:tcPr>
          <w:p w14:paraId="7A2F0F86" w14:textId="77777777"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20,00%</w:t>
            </w:r>
          </w:p>
        </w:tc>
        <w:tc>
          <w:tcPr>
            <w:tcW w:w="1354" w:type="dxa"/>
            <w:vAlign w:val="center"/>
          </w:tcPr>
          <w:p w14:paraId="7A737D17" w14:textId="77777777"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20,00%</w:t>
            </w:r>
          </w:p>
        </w:tc>
      </w:tr>
      <w:tr w:rsidR="00B70A95" w:rsidRPr="005E5068" w14:paraId="4347F15A" w14:textId="77777777" w:rsidTr="001E631D">
        <w:trPr>
          <w:jc w:val="center"/>
        </w:trPr>
        <w:tc>
          <w:tcPr>
            <w:tcW w:w="3910" w:type="dxa"/>
            <w:vAlign w:val="center"/>
          </w:tcPr>
          <w:p w14:paraId="09E16703" w14:textId="1CABD43A" w:rsidR="00B70A95" w:rsidRPr="008821A7" w:rsidRDefault="00B70A95" w:rsidP="00B70A95">
            <w:pPr>
              <w:autoSpaceDE w:val="0"/>
              <w:autoSpaceDN w:val="0"/>
              <w:adjustRightInd w:val="0"/>
              <w:rPr>
                <w:rFonts w:cstheme="minorHAnsi"/>
                <w:sz w:val="18"/>
                <w:szCs w:val="18"/>
              </w:rPr>
            </w:pPr>
            <w:r w:rsidRPr="008821A7">
              <w:rPr>
                <w:rFonts w:cstheme="minorHAnsi"/>
                <w:sz w:val="18"/>
                <w:szCs w:val="18"/>
              </w:rPr>
              <w:t>[c] Contributo c/investimenti (</w:t>
            </w:r>
            <w:proofErr w:type="spellStart"/>
            <w:r w:rsidRPr="008821A7">
              <w:rPr>
                <w:rFonts w:cstheme="minorHAnsi"/>
                <w:sz w:val="18"/>
                <w:szCs w:val="18"/>
              </w:rPr>
              <w:t>max</w:t>
            </w:r>
            <w:proofErr w:type="spellEnd"/>
            <w:r w:rsidRPr="008821A7">
              <w:rPr>
                <w:rFonts w:cstheme="minorHAnsi"/>
                <w:sz w:val="18"/>
                <w:szCs w:val="18"/>
              </w:rPr>
              <w:t xml:space="preserve"> 25K A/30K B)</w:t>
            </w:r>
          </w:p>
        </w:tc>
        <w:tc>
          <w:tcPr>
            <w:tcW w:w="1936" w:type="dxa"/>
            <w:vAlign w:val="center"/>
          </w:tcPr>
          <w:p w14:paraId="27568AAB" w14:textId="2CEBC170"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[a]*[b]</w:t>
            </w:r>
          </w:p>
        </w:tc>
        <w:tc>
          <w:tcPr>
            <w:tcW w:w="1214" w:type="dxa"/>
            <w:vAlign w:val="center"/>
          </w:tcPr>
          <w:p w14:paraId="27399F94" w14:textId="3BEDA819"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7.500,00 €</w:t>
            </w:r>
          </w:p>
        </w:tc>
        <w:tc>
          <w:tcPr>
            <w:tcW w:w="1214" w:type="dxa"/>
            <w:vAlign w:val="center"/>
          </w:tcPr>
          <w:p w14:paraId="68ABC129" w14:textId="77777777"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6.000,00</w:t>
            </w:r>
          </w:p>
        </w:tc>
        <w:tc>
          <w:tcPr>
            <w:tcW w:w="1354" w:type="dxa"/>
            <w:vAlign w:val="center"/>
          </w:tcPr>
          <w:p w14:paraId="201E3E47" w14:textId="2AFA9EF7"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30.000,00 €</w:t>
            </w:r>
          </w:p>
        </w:tc>
      </w:tr>
      <w:tr w:rsidR="00B70A95" w:rsidRPr="005E5068" w14:paraId="225684D0" w14:textId="77777777" w:rsidTr="001E631D">
        <w:trPr>
          <w:jc w:val="center"/>
        </w:trPr>
        <w:tc>
          <w:tcPr>
            <w:tcW w:w="3910" w:type="dxa"/>
            <w:vAlign w:val="center"/>
          </w:tcPr>
          <w:p w14:paraId="3A02CF14" w14:textId="310BB5C5" w:rsidR="00B70A95" w:rsidRPr="008821A7" w:rsidRDefault="00B70A95" w:rsidP="00B70A95">
            <w:pPr>
              <w:autoSpaceDE w:val="0"/>
              <w:autoSpaceDN w:val="0"/>
              <w:adjustRightInd w:val="0"/>
              <w:rPr>
                <w:rFonts w:cstheme="minorHAnsi"/>
                <w:sz w:val="18"/>
                <w:szCs w:val="18"/>
              </w:rPr>
            </w:pPr>
            <w:r w:rsidRPr="008821A7">
              <w:rPr>
                <w:rFonts w:cstheme="minorHAnsi"/>
                <w:sz w:val="18"/>
                <w:szCs w:val="18"/>
              </w:rPr>
              <w:t>[d] Finanziamento richiedibile</w:t>
            </w:r>
          </w:p>
        </w:tc>
        <w:tc>
          <w:tcPr>
            <w:tcW w:w="1936" w:type="dxa"/>
            <w:vAlign w:val="center"/>
          </w:tcPr>
          <w:p w14:paraId="6A0A48A4" w14:textId="2949086E"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([a]-[c</w:t>
            </w:r>
            <w:proofErr w:type="gramStart"/>
            <w:r w:rsidRPr="008821A7">
              <w:rPr>
                <w:rFonts w:cstheme="minorHAnsi"/>
                <w:sz w:val="18"/>
                <w:szCs w:val="18"/>
              </w:rPr>
              <w:t>])*</w:t>
            </w:r>
            <w:proofErr w:type="gramEnd"/>
            <w:r w:rsidR="008821A7">
              <w:rPr>
                <w:rFonts w:cstheme="minorHAnsi"/>
                <w:sz w:val="18"/>
                <w:szCs w:val="18"/>
              </w:rPr>
              <w:t>75</w:t>
            </w:r>
            <w:r w:rsidRPr="008821A7">
              <w:rPr>
                <w:rFonts w:cstheme="minorHAnsi"/>
                <w:sz w:val="18"/>
                <w:szCs w:val="18"/>
              </w:rPr>
              <w:t>%</w:t>
            </w:r>
            <w:r w:rsidR="008821A7">
              <w:rPr>
                <w:rFonts w:cstheme="minorHAnsi"/>
                <w:sz w:val="18"/>
                <w:szCs w:val="18"/>
              </w:rPr>
              <w:t xml:space="preserve"> o 50%</w:t>
            </w:r>
          </w:p>
        </w:tc>
        <w:tc>
          <w:tcPr>
            <w:tcW w:w="1214" w:type="dxa"/>
            <w:vAlign w:val="center"/>
          </w:tcPr>
          <w:p w14:paraId="18CF13C0" w14:textId="71D530D6" w:rsidR="00B70A95" w:rsidRPr="008821A7" w:rsidRDefault="008821A7" w:rsidP="00B70A95">
            <w:pPr>
              <w:autoSpaceDE w:val="0"/>
              <w:autoSpaceDN w:val="0"/>
              <w:adjustRightInd w:val="0"/>
              <w:jc w:val="center"/>
              <w:rPr>
                <w:rFonts w:cstheme="minorHAnsi"/>
                <w:sz w:val="18"/>
                <w:szCs w:val="18"/>
              </w:rPr>
            </w:pPr>
            <w:r>
              <w:rPr>
                <w:rFonts w:cstheme="minorHAnsi"/>
                <w:sz w:val="18"/>
                <w:szCs w:val="18"/>
              </w:rPr>
              <w:t>13.125</w:t>
            </w:r>
            <w:r w:rsidR="00B70A95" w:rsidRPr="008821A7">
              <w:rPr>
                <w:rFonts w:cstheme="minorHAnsi"/>
                <w:sz w:val="18"/>
                <w:szCs w:val="18"/>
              </w:rPr>
              <w:t>,00 €</w:t>
            </w:r>
          </w:p>
        </w:tc>
        <w:tc>
          <w:tcPr>
            <w:tcW w:w="1214" w:type="dxa"/>
            <w:vAlign w:val="center"/>
          </w:tcPr>
          <w:p w14:paraId="5B356C4A" w14:textId="1D16F012"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12.000,00 €</w:t>
            </w:r>
          </w:p>
        </w:tc>
        <w:tc>
          <w:tcPr>
            <w:tcW w:w="1354" w:type="dxa"/>
            <w:vAlign w:val="center"/>
          </w:tcPr>
          <w:p w14:paraId="2B882DEC" w14:textId="12F57B59"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60.000,00 €</w:t>
            </w:r>
          </w:p>
        </w:tc>
      </w:tr>
      <w:tr w:rsidR="00B70A95" w:rsidRPr="005E5068" w14:paraId="69DEB8C8" w14:textId="77777777" w:rsidTr="001E631D">
        <w:trPr>
          <w:jc w:val="center"/>
        </w:trPr>
        <w:tc>
          <w:tcPr>
            <w:tcW w:w="3910" w:type="dxa"/>
            <w:vAlign w:val="center"/>
          </w:tcPr>
          <w:p w14:paraId="6C31DD60" w14:textId="5F510B96" w:rsidR="00B70A95" w:rsidRPr="008821A7" w:rsidRDefault="00B70A95" w:rsidP="00B70A95">
            <w:pPr>
              <w:autoSpaceDE w:val="0"/>
              <w:autoSpaceDN w:val="0"/>
              <w:adjustRightInd w:val="0"/>
              <w:rPr>
                <w:rFonts w:cstheme="minorHAnsi"/>
                <w:sz w:val="18"/>
                <w:szCs w:val="18"/>
              </w:rPr>
            </w:pPr>
            <w:r w:rsidRPr="008821A7">
              <w:rPr>
                <w:rFonts w:cstheme="minorHAnsi"/>
                <w:sz w:val="18"/>
                <w:szCs w:val="18"/>
              </w:rPr>
              <w:t>[e] Contributo c/interessi (2,5%) (</w:t>
            </w:r>
            <w:proofErr w:type="spellStart"/>
            <w:r w:rsidRPr="008821A7">
              <w:rPr>
                <w:rFonts w:cstheme="minorHAnsi"/>
                <w:sz w:val="18"/>
                <w:szCs w:val="18"/>
              </w:rPr>
              <w:t>max</w:t>
            </w:r>
            <w:proofErr w:type="spellEnd"/>
            <w:r w:rsidRPr="008821A7">
              <w:rPr>
                <w:rFonts w:cstheme="minorHAnsi"/>
                <w:sz w:val="18"/>
                <w:szCs w:val="18"/>
              </w:rPr>
              <w:t xml:space="preserve"> 6.000 €)</w:t>
            </w:r>
          </w:p>
        </w:tc>
        <w:tc>
          <w:tcPr>
            <w:tcW w:w="1936" w:type="dxa"/>
            <w:vAlign w:val="center"/>
          </w:tcPr>
          <w:p w14:paraId="1BB2C6C8" w14:textId="41836725"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([d]*2,5</w:t>
            </w:r>
            <w:proofErr w:type="gramStart"/>
            <w:r w:rsidRPr="008821A7">
              <w:rPr>
                <w:rFonts w:cstheme="minorHAnsi"/>
                <w:sz w:val="18"/>
                <w:szCs w:val="18"/>
              </w:rPr>
              <w:t>%)*</w:t>
            </w:r>
            <w:proofErr w:type="gramEnd"/>
            <w:r w:rsidRPr="008821A7">
              <w:rPr>
                <w:rFonts w:cstheme="minorHAnsi"/>
                <w:sz w:val="18"/>
                <w:szCs w:val="18"/>
              </w:rPr>
              <w:t>6/2</w:t>
            </w:r>
          </w:p>
        </w:tc>
        <w:tc>
          <w:tcPr>
            <w:tcW w:w="1214" w:type="dxa"/>
            <w:vAlign w:val="center"/>
          </w:tcPr>
          <w:p w14:paraId="5006A675" w14:textId="3C3FDCD2" w:rsidR="00B70A95" w:rsidRPr="008821A7" w:rsidRDefault="008821A7" w:rsidP="00B70A95">
            <w:pPr>
              <w:autoSpaceDE w:val="0"/>
              <w:autoSpaceDN w:val="0"/>
              <w:adjustRightInd w:val="0"/>
              <w:jc w:val="center"/>
              <w:rPr>
                <w:rFonts w:cstheme="minorHAnsi"/>
                <w:sz w:val="18"/>
                <w:szCs w:val="18"/>
              </w:rPr>
            </w:pPr>
            <w:r>
              <w:rPr>
                <w:rFonts w:cstheme="minorHAnsi"/>
                <w:sz w:val="18"/>
                <w:szCs w:val="18"/>
              </w:rPr>
              <w:t>984</w:t>
            </w:r>
            <w:r w:rsidR="00B70A95" w:rsidRPr="008821A7">
              <w:rPr>
                <w:rFonts w:cstheme="minorHAnsi"/>
                <w:sz w:val="18"/>
                <w:szCs w:val="18"/>
              </w:rPr>
              <w:t>,</w:t>
            </w:r>
            <w:r>
              <w:rPr>
                <w:rFonts w:cstheme="minorHAnsi"/>
                <w:sz w:val="18"/>
                <w:szCs w:val="18"/>
              </w:rPr>
              <w:t>38</w:t>
            </w:r>
            <w:r w:rsidRPr="008821A7">
              <w:rPr>
                <w:rFonts w:cstheme="minorHAnsi"/>
                <w:sz w:val="18"/>
                <w:szCs w:val="18"/>
              </w:rPr>
              <w:t xml:space="preserve"> </w:t>
            </w:r>
            <w:r w:rsidR="00B70A95" w:rsidRPr="008821A7">
              <w:rPr>
                <w:rFonts w:cstheme="minorHAnsi"/>
                <w:sz w:val="18"/>
                <w:szCs w:val="18"/>
              </w:rPr>
              <w:t>€</w:t>
            </w:r>
          </w:p>
        </w:tc>
        <w:tc>
          <w:tcPr>
            <w:tcW w:w="1214" w:type="dxa"/>
            <w:vAlign w:val="center"/>
          </w:tcPr>
          <w:p w14:paraId="2A2CB6A3" w14:textId="5BEC0B54"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900,00 €</w:t>
            </w:r>
          </w:p>
        </w:tc>
        <w:tc>
          <w:tcPr>
            <w:tcW w:w="1354" w:type="dxa"/>
            <w:vAlign w:val="center"/>
          </w:tcPr>
          <w:p w14:paraId="106766C8" w14:textId="60E176EB"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4.500,00 €</w:t>
            </w:r>
          </w:p>
        </w:tc>
      </w:tr>
      <w:tr w:rsidR="00B70A95" w:rsidRPr="005E5068" w14:paraId="7F2A8A29" w14:textId="77777777" w:rsidTr="001E631D">
        <w:trPr>
          <w:jc w:val="center"/>
        </w:trPr>
        <w:tc>
          <w:tcPr>
            <w:tcW w:w="3910" w:type="dxa"/>
            <w:vAlign w:val="center"/>
          </w:tcPr>
          <w:p w14:paraId="2063BE5B" w14:textId="0B6A27F8" w:rsidR="00B70A95" w:rsidRPr="008821A7" w:rsidRDefault="00B70A95" w:rsidP="00B70A95">
            <w:pPr>
              <w:autoSpaceDE w:val="0"/>
              <w:autoSpaceDN w:val="0"/>
              <w:adjustRightInd w:val="0"/>
              <w:rPr>
                <w:rFonts w:cstheme="minorHAnsi"/>
                <w:sz w:val="18"/>
                <w:szCs w:val="18"/>
              </w:rPr>
            </w:pPr>
            <w:r w:rsidRPr="008821A7">
              <w:rPr>
                <w:rFonts w:cstheme="minorHAnsi"/>
                <w:sz w:val="18"/>
                <w:szCs w:val="18"/>
              </w:rPr>
              <w:t>[f] Contributo oneri Confidi (</w:t>
            </w:r>
            <w:proofErr w:type="spellStart"/>
            <w:r w:rsidRPr="008821A7">
              <w:rPr>
                <w:rFonts w:cstheme="minorHAnsi"/>
                <w:sz w:val="18"/>
                <w:szCs w:val="18"/>
              </w:rPr>
              <w:t>max</w:t>
            </w:r>
            <w:proofErr w:type="spellEnd"/>
            <w:r w:rsidRPr="008821A7">
              <w:rPr>
                <w:rFonts w:cstheme="minorHAnsi"/>
                <w:sz w:val="18"/>
                <w:szCs w:val="18"/>
              </w:rPr>
              <w:t xml:space="preserve"> 5.000 €)</w:t>
            </w:r>
          </w:p>
        </w:tc>
        <w:tc>
          <w:tcPr>
            <w:tcW w:w="1936" w:type="dxa"/>
            <w:vAlign w:val="center"/>
          </w:tcPr>
          <w:p w14:paraId="4591916B" w14:textId="75B0C635"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[d]*80%*0,6%*6</w:t>
            </w:r>
            <w:proofErr w:type="gramStart"/>
            <w:r w:rsidRPr="008821A7">
              <w:rPr>
                <w:rFonts w:cstheme="minorHAnsi"/>
                <w:sz w:val="18"/>
                <w:szCs w:val="18"/>
              </w:rPr>
              <w:t>+(</w:t>
            </w:r>
            <w:proofErr w:type="gramEnd"/>
            <w:r w:rsidRPr="008821A7">
              <w:rPr>
                <w:rFonts w:cstheme="minorHAnsi"/>
                <w:sz w:val="18"/>
                <w:szCs w:val="18"/>
              </w:rPr>
              <w:t>costi commissione)</w:t>
            </w:r>
          </w:p>
        </w:tc>
        <w:tc>
          <w:tcPr>
            <w:tcW w:w="1214" w:type="dxa"/>
            <w:vAlign w:val="center"/>
          </w:tcPr>
          <w:p w14:paraId="2D8A598A" w14:textId="79074565" w:rsidR="00B70A95" w:rsidRPr="008821A7" w:rsidRDefault="008821A7" w:rsidP="00B70A95">
            <w:pPr>
              <w:autoSpaceDE w:val="0"/>
              <w:autoSpaceDN w:val="0"/>
              <w:adjustRightInd w:val="0"/>
              <w:jc w:val="center"/>
              <w:rPr>
                <w:rFonts w:cstheme="minorHAnsi"/>
                <w:sz w:val="18"/>
                <w:szCs w:val="18"/>
              </w:rPr>
            </w:pPr>
            <w:r>
              <w:rPr>
                <w:rFonts w:cstheme="minorHAnsi"/>
                <w:sz w:val="18"/>
                <w:szCs w:val="18"/>
              </w:rPr>
              <w:t>878</w:t>
            </w:r>
            <w:r w:rsidR="00B70A95" w:rsidRPr="008821A7">
              <w:rPr>
                <w:rFonts w:cstheme="minorHAnsi"/>
                <w:sz w:val="18"/>
                <w:szCs w:val="18"/>
              </w:rPr>
              <w:t>,00 €</w:t>
            </w:r>
          </w:p>
        </w:tc>
        <w:tc>
          <w:tcPr>
            <w:tcW w:w="1214" w:type="dxa"/>
            <w:vAlign w:val="center"/>
          </w:tcPr>
          <w:p w14:paraId="2F99CA9E" w14:textId="5930DA16"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845,60 €</w:t>
            </w:r>
          </w:p>
        </w:tc>
        <w:tc>
          <w:tcPr>
            <w:tcW w:w="1354" w:type="dxa"/>
            <w:vAlign w:val="center"/>
          </w:tcPr>
          <w:p w14:paraId="39FECDD0" w14:textId="16E334E0"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3.000,00 €</w:t>
            </w:r>
          </w:p>
        </w:tc>
      </w:tr>
      <w:tr w:rsidR="00B70A95" w:rsidRPr="005E5068" w14:paraId="478C0260" w14:textId="77777777" w:rsidTr="001E631D">
        <w:trPr>
          <w:jc w:val="center"/>
        </w:trPr>
        <w:tc>
          <w:tcPr>
            <w:tcW w:w="3910" w:type="dxa"/>
            <w:vAlign w:val="center"/>
          </w:tcPr>
          <w:p w14:paraId="1E0352CA" w14:textId="024F4CFB" w:rsidR="00B70A95" w:rsidRPr="008821A7" w:rsidRDefault="00B70A95" w:rsidP="00B70A95">
            <w:pPr>
              <w:autoSpaceDE w:val="0"/>
              <w:autoSpaceDN w:val="0"/>
              <w:adjustRightInd w:val="0"/>
              <w:rPr>
                <w:rFonts w:cstheme="minorHAnsi"/>
                <w:sz w:val="18"/>
                <w:szCs w:val="18"/>
              </w:rPr>
            </w:pPr>
            <w:r w:rsidRPr="008821A7">
              <w:rPr>
                <w:rFonts w:cstheme="minorHAnsi"/>
                <w:sz w:val="18"/>
                <w:szCs w:val="18"/>
              </w:rPr>
              <w:t>[g] ESL riassicurazione</w:t>
            </w:r>
          </w:p>
        </w:tc>
        <w:tc>
          <w:tcPr>
            <w:tcW w:w="1936" w:type="dxa"/>
            <w:vAlign w:val="center"/>
          </w:tcPr>
          <w:p w14:paraId="05927EE5" w14:textId="66402B6D" w:rsidR="00B70A95" w:rsidRPr="008821A7" w:rsidRDefault="001E631D" w:rsidP="00B70A95">
            <w:pPr>
              <w:autoSpaceDE w:val="0"/>
              <w:autoSpaceDN w:val="0"/>
              <w:adjustRightInd w:val="0"/>
              <w:jc w:val="center"/>
              <w:rPr>
                <w:rFonts w:cstheme="minorHAnsi"/>
                <w:sz w:val="18"/>
                <w:szCs w:val="18"/>
              </w:rPr>
            </w:pPr>
            <w:r w:rsidRPr="008821A7">
              <w:rPr>
                <w:rFonts w:cstheme="minorHAnsi"/>
                <w:sz w:val="18"/>
                <w:szCs w:val="18"/>
              </w:rPr>
              <w:t>[*]</w:t>
            </w:r>
          </w:p>
        </w:tc>
        <w:tc>
          <w:tcPr>
            <w:tcW w:w="1214" w:type="dxa"/>
            <w:vAlign w:val="center"/>
          </w:tcPr>
          <w:p w14:paraId="008BC7A8" w14:textId="7DAFD140" w:rsidR="00B70A95" w:rsidRPr="008821A7" w:rsidRDefault="008821A7" w:rsidP="00B70A95">
            <w:pPr>
              <w:autoSpaceDE w:val="0"/>
              <w:autoSpaceDN w:val="0"/>
              <w:adjustRightInd w:val="0"/>
              <w:jc w:val="center"/>
              <w:rPr>
                <w:rFonts w:cstheme="minorHAnsi"/>
                <w:sz w:val="18"/>
                <w:szCs w:val="18"/>
              </w:rPr>
            </w:pPr>
            <w:r>
              <w:rPr>
                <w:rFonts w:cstheme="minorHAnsi"/>
                <w:sz w:val="18"/>
                <w:szCs w:val="18"/>
              </w:rPr>
              <w:t>918</w:t>
            </w:r>
            <w:r w:rsidR="00B70A95" w:rsidRPr="008821A7">
              <w:rPr>
                <w:rFonts w:cstheme="minorHAnsi"/>
                <w:sz w:val="18"/>
                <w:szCs w:val="18"/>
              </w:rPr>
              <w:t>,</w:t>
            </w:r>
            <w:r>
              <w:rPr>
                <w:rFonts w:cstheme="minorHAnsi"/>
                <w:sz w:val="18"/>
                <w:szCs w:val="18"/>
              </w:rPr>
              <w:t>75</w:t>
            </w:r>
            <w:r w:rsidRPr="008821A7">
              <w:rPr>
                <w:rFonts w:cstheme="minorHAnsi"/>
                <w:sz w:val="18"/>
                <w:szCs w:val="18"/>
              </w:rPr>
              <w:t xml:space="preserve"> </w:t>
            </w:r>
            <w:r w:rsidR="00B70A95" w:rsidRPr="008821A7">
              <w:rPr>
                <w:rFonts w:cstheme="minorHAnsi"/>
                <w:sz w:val="18"/>
                <w:szCs w:val="18"/>
              </w:rPr>
              <w:t>€</w:t>
            </w:r>
          </w:p>
        </w:tc>
        <w:tc>
          <w:tcPr>
            <w:tcW w:w="1214" w:type="dxa"/>
            <w:vAlign w:val="center"/>
          </w:tcPr>
          <w:p w14:paraId="0D773B52" w14:textId="2869C7C0"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840,00 €</w:t>
            </w:r>
          </w:p>
        </w:tc>
        <w:tc>
          <w:tcPr>
            <w:tcW w:w="1354" w:type="dxa"/>
            <w:vAlign w:val="center"/>
          </w:tcPr>
          <w:p w14:paraId="322B709D" w14:textId="6FC697B4"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4.200,00 €</w:t>
            </w:r>
          </w:p>
        </w:tc>
      </w:tr>
      <w:tr w:rsidR="00B70A95" w:rsidRPr="005E5068" w14:paraId="5706AA15" w14:textId="77777777" w:rsidTr="001E631D">
        <w:trPr>
          <w:jc w:val="center"/>
        </w:trPr>
        <w:tc>
          <w:tcPr>
            <w:tcW w:w="3910" w:type="dxa"/>
            <w:shd w:val="clear" w:color="auto" w:fill="B4C6E7" w:themeFill="accent1" w:themeFillTint="66"/>
            <w:vAlign w:val="center"/>
          </w:tcPr>
          <w:p w14:paraId="6143FC12" w14:textId="0DBBA5BF" w:rsidR="00B70A95" w:rsidRPr="008821A7" w:rsidRDefault="00B70A95" w:rsidP="00B70A95">
            <w:pPr>
              <w:autoSpaceDE w:val="0"/>
              <w:autoSpaceDN w:val="0"/>
              <w:adjustRightInd w:val="0"/>
              <w:rPr>
                <w:rFonts w:cstheme="minorHAnsi"/>
                <w:b/>
                <w:sz w:val="18"/>
                <w:szCs w:val="18"/>
              </w:rPr>
            </w:pPr>
            <w:r w:rsidRPr="008821A7">
              <w:rPr>
                <w:rFonts w:cstheme="minorHAnsi"/>
                <w:b/>
                <w:sz w:val="18"/>
                <w:szCs w:val="18"/>
              </w:rPr>
              <w:t>[h] Importo contributo totale</w:t>
            </w:r>
          </w:p>
        </w:tc>
        <w:tc>
          <w:tcPr>
            <w:tcW w:w="1936" w:type="dxa"/>
            <w:shd w:val="clear" w:color="auto" w:fill="B4C6E7" w:themeFill="accent1" w:themeFillTint="66"/>
            <w:vAlign w:val="center"/>
          </w:tcPr>
          <w:p w14:paraId="7F7ECC8C" w14:textId="05AFFE66" w:rsidR="00B70A95" w:rsidRPr="008821A7" w:rsidRDefault="00B70A95" w:rsidP="00B70A95">
            <w:pPr>
              <w:autoSpaceDE w:val="0"/>
              <w:autoSpaceDN w:val="0"/>
              <w:adjustRightInd w:val="0"/>
              <w:jc w:val="center"/>
              <w:rPr>
                <w:rFonts w:cstheme="minorHAnsi"/>
                <w:b/>
                <w:sz w:val="18"/>
                <w:szCs w:val="18"/>
              </w:rPr>
            </w:pPr>
            <w:r w:rsidRPr="008821A7">
              <w:rPr>
                <w:rFonts w:cstheme="minorHAnsi"/>
                <w:b/>
                <w:sz w:val="18"/>
                <w:szCs w:val="18"/>
              </w:rPr>
              <w:t>[c]+[e]+[f]+[g]</w:t>
            </w:r>
          </w:p>
        </w:tc>
        <w:tc>
          <w:tcPr>
            <w:tcW w:w="1214" w:type="dxa"/>
            <w:shd w:val="clear" w:color="auto" w:fill="B4C6E7" w:themeFill="accent1" w:themeFillTint="66"/>
            <w:vAlign w:val="center"/>
          </w:tcPr>
          <w:p w14:paraId="082A22F2" w14:textId="5CFB7DC8" w:rsidR="00B70A95" w:rsidRPr="008821A7" w:rsidRDefault="008821A7" w:rsidP="00B70A95">
            <w:pPr>
              <w:autoSpaceDE w:val="0"/>
              <w:autoSpaceDN w:val="0"/>
              <w:adjustRightInd w:val="0"/>
              <w:jc w:val="center"/>
              <w:rPr>
                <w:rFonts w:cstheme="minorHAnsi"/>
                <w:b/>
                <w:sz w:val="18"/>
                <w:szCs w:val="18"/>
              </w:rPr>
            </w:pPr>
            <w:r>
              <w:rPr>
                <w:rFonts w:cstheme="minorHAnsi"/>
                <w:b/>
                <w:sz w:val="18"/>
                <w:szCs w:val="18"/>
              </w:rPr>
              <w:t>10.281,13</w:t>
            </w:r>
            <w:r w:rsidR="00B70A95" w:rsidRPr="008821A7">
              <w:rPr>
                <w:rFonts w:cstheme="minorHAnsi"/>
                <w:b/>
                <w:sz w:val="18"/>
                <w:szCs w:val="18"/>
              </w:rPr>
              <w:t xml:space="preserve"> </w:t>
            </w:r>
            <w:r w:rsidR="00B70A95" w:rsidRPr="008821A7">
              <w:rPr>
                <w:rFonts w:cstheme="minorHAnsi"/>
                <w:sz w:val="18"/>
                <w:szCs w:val="18"/>
              </w:rPr>
              <w:t>€</w:t>
            </w:r>
          </w:p>
        </w:tc>
        <w:tc>
          <w:tcPr>
            <w:tcW w:w="1214" w:type="dxa"/>
            <w:shd w:val="clear" w:color="auto" w:fill="B4C6E7" w:themeFill="accent1" w:themeFillTint="66"/>
            <w:vAlign w:val="center"/>
          </w:tcPr>
          <w:p w14:paraId="538B60AD" w14:textId="32F5FAB1" w:rsidR="00B70A95" w:rsidRPr="008821A7" w:rsidRDefault="00B70A95" w:rsidP="00B70A95">
            <w:pPr>
              <w:autoSpaceDE w:val="0"/>
              <w:autoSpaceDN w:val="0"/>
              <w:adjustRightInd w:val="0"/>
              <w:jc w:val="center"/>
              <w:rPr>
                <w:rFonts w:cstheme="minorHAnsi"/>
                <w:b/>
                <w:sz w:val="18"/>
                <w:szCs w:val="18"/>
              </w:rPr>
            </w:pPr>
            <w:r w:rsidRPr="008821A7">
              <w:rPr>
                <w:rFonts w:cstheme="minorHAnsi"/>
                <w:b/>
                <w:sz w:val="18"/>
                <w:szCs w:val="18"/>
              </w:rPr>
              <w:t xml:space="preserve">8.585,60 </w:t>
            </w:r>
            <w:r w:rsidRPr="008821A7">
              <w:rPr>
                <w:rFonts w:cstheme="minorHAnsi"/>
                <w:sz w:val="18"/>
                <w:szCs w:val="18"/>
              </w:rPr>
              <w:t>€</w:t>
            </w:r>
          </w:p>
        </w:tc>
        <w:tc>
          <w:tcPr>
            <w:tcW w:w="1354" w:type="dxa"/>
            <w:shd w:val="clear" w:color="auto" w:fill="B4C6E7" w:themeFill="accent1" w:themeFillTint="66"/>
            <w:vAlign w:val="center"/>
          </w:tcPr>
          <w:p w14:paraId="2508A09F" w14:textId="6287027E" w:rsidR="00B70A95" w:rsidRPr="008821A7" w:rsidRDefault="00B70A95" w:rsidP="00B70A95">
            <w:pPr>
              <w:autoSpaceDE w:val="0"/>
              <w:autoSpaceDN w:val="0"/>
              <w:adjustRightInd w:val="0"/>
              <w:jc w:val="center"/>
              <w:rPr>
                <w:rFonts w:cstheme="minorHAnsi"/>
                <w:b/>
                <w:sz w:val="18"/>
                <w:szCs w:val="18"/>
              </w:rPr>
            </w:pPr>
            <w:r w:rsidRPr="008821A7">
              <w:rPr>
                <w:rFonts w:cstheme="minorHAnsi"/>
                <w:b/>
                <w:sz w:val="18"/>
                <w:szCs w:val="18"/>
              </w:rPr>
              <w:t xml:space="preserve">41.700,00 </w:t>
            </w:r>
            <w:r w:rsidRPr="008821A7">
              <w:rPr>
                <w:rFonts w:cstheme="minorHAnsi"/>
                <w:sz w:val="18"/>
                <w:szCs w:val="18"/>
              </w:rPr>
              <w:t>€</w:t>
            </w:r>
          </w:p>
        </w:tc>
      </w:tr>
      <w:tr w:rsidR="00B70A95" w:rsidRPr="005E5068" w14:paraId="38F982FF" w14:textId="77777777" w:rsidTr="001E631D">
        <w:trPr>
          <w:jc w:val="center"/>
        </w:trPr>
        <w:tc>
          <w:tcPr>
            <w:tcW w:w="3910" w:type="dxa"/>
            <w:vAlign w:val="center"/>
          </w:tcPr>
          <w:p w14:paraId="35B7DBEB" w14:textId="5B47FA6B" w:rsidR="00B70A95" w:rsidRPr="008821A7" w:rsidRDefault="00B70A95" w:rsidP="00B70A95">
            <w:pPr>
              <w:autoSpaceDE w:val="0"/>
              <w:autoSpaceDN w:val="0"/>
              <w:adjustRightInd w:val="0"/>
              <w:rPr>
                <w:rFonts w:cstheme="minorHAnsi"/>
                <w:sz w:val="18"/>
                <w:szCs w:val="18"/>
              </w:rPr>
            </w:pPr>
            <w:r w:rsidRPr="008821A7">
              <w:rPr>
                <w:rFonts w:cstheme="minorHAnsi"/>
                <w:sz w:val="18"/>
                <w:szCs w:val="18"/>
              </w:rPr>
              <w:t>[i] Accantonamento riassicurazione (5% della garanzia II grado)</w:t>
            </w:r>
          </w:p>
        </w:tc>
        <w:tc>
          <w:tcPr>
            <w:tcW w:w="1936" w:type="dxa"/>
            <w:vAlign w:val="center"/>
          </w:tcPr>
          <w:p w14:paraId="6CAB545E" w14:textId="33744F7F"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[d]*80%*70%*5%</w:t>
            </w:r>
          </w:p>
        </w:tc>
        <w:tc>
          <w:tcPr>
            <w:tcW w:w="1214" w:type="dxa"/>
            <w:vAlign w:val="center"/>
          </w:tcPr>
          <w:p w14:paraId="697C9C9D" w14:textId="37155379" w:rsidR="00B70A95" w:rsidRPr="008821A7" w:rsidRDefault="008821A7" w:rsidP="00B70A95">
            <w:pPr>
              <w:autoSpaceDE w:val="0"/>
              <w:autoSpaceDN w:val="0"/>
              <w:adjustRightInd w:val="0"/>
              <w:jc w:val="center"/>
              <w:rPr>
                <w:rFonts w:cstheme="minorHAnsi"/>
                <w:sz w:val="18"/>
                <w:szCs w:val="18"/>
              </w:rPr>
            </w:pPr>
            <w:r>
              <w:rPr>
                <w:rFonts w:cstheme="minorHAnsi"/>
                <w:sz w:val="18"/>
                <w:szCs w:val="18"/>
              </w:rPr>
              <w:t>367,50</w:t>
            </w:r>
            <w:r w:rsidR="00B70A95" w:rsidRPr="008821A7">
              <w:rPr>
                <w:rFonts w:cstheme="minorHAnsi"/>
                <w:sz w:val="18"/>
                <w:szCs w:val="18"/>
              </w:rPr>
              <w:t xml:space="preserve"> €</w:t>
            </w:r>
          </w:p>
        </w:tc>
        <w:tc>
          <w:tcPr>
            <w:tcW w:w="1214" w:type="dxa"/>
            <w:vAlign w:val="center"/>
          </w:tcPr>
          <w:p w14:paraId="6C910F7F" w14:textId="22C34D06"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336,00 €</w:t>
            </w:r>
          </w:p>
        </w:tc>
        <w:tc>
          <w:tcPr>
            <w:tcW w:w="1354" w:type="dxa"/>
            <w:vAlign w:val="center"/>
          </w:tcPr>
          <w:p w14:paraId="140C5A86" w14:textId="77777777" w:rsidR="00B70A95" w:rsidRPr="008821A7" w:rsidRDefault="00B70A95" w:rsidP="00B70A95">
            <w:pPr>
              <w:autoSpaceDE w:val="0"/>
              <w:autoSpaceDN w:val="0"/>
              <w:adjustRightInd w:val="0"/>
              <w:jc w:val="center"/>
              <w:rPr>
                <w:rFonts w:cstheme="minorHAnsi"/>
                <w:sz w:val="18"/>
                <w:szCs w:val="18"/>
              </w:rPr>
            </w:pPr>
            <w:r w:rsidRPr="008821A7">
              <w:rPr>
                <w:rFonts w:cstheme="minorHAnsi"/>
                <w:sz w:val="18"/>
                <w:szCs w:val="18"/>
              </w:rPr>
              <w:t>1.680,00</w:t>
            </w:r>
          </w:p>
        </w:tc>
      </w:tr>
      <w:tr w:rsidR="00B70A95" w:rsidRPr="005E5068" w14:paraId="605A4E9C" w14:textId="77777777" w:rsidTr="001E631D">
        <w:trPr>
          <w:jc w:val="center"/>
        </w:trPr>
        <w:tc>
          <w:tcPr>
            <w:tcW w:w="3910" w:type="dxa"/>
            <w:shd w:val="clear" w:color="auto" w:fill="B4C6E7" w:themeFill="accent1" w:themeFillTint="66"/>
            <w:vAlign w:val="center"/>
          </w:tcPr>
          <w:p w14:paraId="572352F1" w14:textId="6879CFDA" w:rsidR="00B70A95" w:rsidRPr="008821A7" w:rsidRDefault="00B70A95" w:rsidP="00B70A95">
            <w:pPr>
              <w:autoSpaceDE w:val="0"/>
              <w:autoSpaceDN w:val="0"/>
              <w:adjustRightInd w:val="0"/>
              <w:rPr>
                <w:rFonts w:cstheme="minorHAnsi"/>
                <w:b/>
                <w:sz w:val="18"/>
                <w:szCs w:val="18"/>
              </w:rPr>
            </w:pPr>
            <w:r w:rsidRPr="008821A7">
              <w:rPr>
                <w:rFonts w:cstheme="minorHAnsi"/>
                <w:b/>
                <w:sz w:val="18"/>
                <w:szCs w:val="18"/>
              </w:rPr>
              <w:t>[l] Importo spesa Fondo singola operazione</w:t>
            </w:r>
          </w:p>
        </w:tc>
        <w:tc>
          <w:tcPr>
            <w:tcW w:w="1936" w:type="dxa"/>
            <w:shd w:val="clear" w:color="auto" w:fill="B4C6E7" w:themeFill="accent1" w:themeFillTint="66"/>
            <w:vAlign w:val="center"/>
          </w:tcPr>
          <w:p w14:paraId="72DE35F6" w14:textId="359D04FA" w:rsidR="00B70A95" w:rsidRPr="008821A7" w:rsidRDefault="00B70A95" w:rsidP="00B70A95">
            <w:pPr>
              <w:autoSpaceDE w:val="0"/>
              <w:autoSpaceDN w:val="0"/>
              <w:adjustRightInd w:val="0"/>
              <w:jc w:val="center"/>
              <w:rPr>
                <w:rFonts w:cstheme="minorHAnsi"/>
                <w:b/>
                <w:sz w:val="18"/>
                <w:szCs w:val="18"/>
              </w:rPr>
            </w:pPr>
            <w:r w:rsidRPr="008821A7">
              <w:rPr>
                <w:rFonts w:cstheme="minorHAnsi"/>
                <w:b/>
                <w:sz w:val="18"/>
                <w:szCs w:val="18"/>
              </w:rPr>
              <w:t>[c]+[e]+[g]+[i]</w:t>
            </w:r>
          </w:p>
        </w:tc>
        <w:tc>
          <w:tcPr>
            <w:tcW w:w="1214" w:type="dxa"/>
            <w:shd w:val="clear" w:color="auto" w:fill="B4C6E7" w:themeFill="accent1" w:themeFillTint="66"/>
            <w:vAlign w:val="center"/>
          </w:tcPr>
          <w:p w14:paraId="0131CD62" w14:textId="79326399" w:rsidR="00B70A95" w:rsidRPr="008821A7" w:rsidRDefault="00B70A95" w:rsidP="00B70A95">
            <w:pPr>
              <w:autoSpaceDE w:val="0"/>
              <w:autoSpaceDN w:val="0"/>
              <w:adjustRightInd w:val="0"/>
              <w:jc w:val="center"/>
              <w:rPr>
                <w:rFonts w:cstheme="minorHAnsi"/>
                <w:b/>
                <w:sz w:val="18"/>
                <w:szCs w:val="18"/>
              </w:rPr>
            </w:pPr>
            <w:bookmarkStart w:id="19" w:name="_Hlk182223928"/>
            <w:r w:rsidRPr="008821A7">
              <w:rPr>
                <w:rFonts w:cstheme="minorHAnsi"/>
                <w:b/>
                <w:sz w:val="18"/>
                <w:szCs w:val="18"/>
              </w:rPr>
              <w:t>9.</w:t>
            </w:r>
            <w:r w:rsidR="008821A7">
              <w:rPr>
                <w:rFonts w:cstheme="minorHAnsi"/>
                <w:b/>
                <w:sz w:val="18"/>
                <w:szCs w:val="18"/>
              </w:rPr>
              <w:t>729</w:t>
            </w:r>
            <w:r w:rsidRPr="008821A7">
              <w:rPr>
                <w:rFonts w:cstheme="minorHAnsi"/>
                <w:b/>
                <w:sz w:val="18"/>
                <w:szCs w:val="18"/>
              </w:rPr>
              <w:t>,</w:t>
            </w:r>
            <w:r w:rsidR="008821A7">
              <w:rPr>
                <w:rFonts w:cstheme="minorHAnsi"/>
                <w:b/>
                <w:sz w:val="18"/>
                <w:szCs w:val="18"/>
              </w:rPr>
              <w:t>88</w:t>
            </w:r>
            <w:r w:rsidR="008821A7" w:rsidRPr="008821A7">
              <w:rPr>
                <w:rFonts w:cstheme="minorHAnsi"/>
                <w:b/>
                <w:sz w:val="18"/>
                <w:szCs w:val="18"/>
              </w:rPr>
              <w:t xml:space="preserve"> </w:t>
            </w:r>
            <w:r w:rsidRPr="008821A7">
              <w:rPr>
                <w:rFonts w:cstheme="minorHAnsi"/>
                <w:sz w:val="18"/>
                <w:szCs w:val="18"/>
              </w:rPr>
              <w:t>€</w:t>
            </w:r>
            <w:bookmarkEnd w:id="19"/>
          </w:p>
        </w:tc>
        <w:tc>
          <w:tcPr>
            <w:tcW w:w="1214" w:type="dxa"/>
            <w:shd w:val="clear" w:color="auto" w:fill="B4C6E7" w:themeFill="accent1" w:themeFillTint="66"/>
            <w:vAlign w:val="center"/>
          </w:tcPr>
          <w:p w14:paraId="6EA0D64E" w14:textId="69CE1915" w:rsidR="00B70A95" w:rsidRPr="008821A7" w:rsidRDefault="00B70A95" w:rsidP="00B70A95">
            <w:pPr>
              <w:autoSpaceDE w:val="0"/>
              <w:autoSpaceDN w:val="0"/>
              <w:adjustRightInd w:val="0"/>
              <w:jc w:val="center"/>
              <w:rPr>
                <w:rFonts w:cstheme="minorHAnsi"/>
                <w:b/>
                <w:sz w:val="18"/>
                <w:szCs w:val="18"/>
              </w:rPr>
            </w:pPr>
            <w:r w:rsidRPr="008821A7">
              <w:rPr>
                <w:rFonts w:cstheme="minorHAnsi"/>
                <w:b/>
                <w:sz w:val="18"/>
                <w:szCs w:val="18"/>
              </w:rPr>
              <w:t xml:space="preserve">8.081,60 </w:t>
            </w:r>
            <w:r w:rsidRPr="008821A7">
              <w:rPr>
                <w:rFonts w:cstheme="minorHAnsi"/>
                <w:sz w:val="18"/>
                <w:szCs w:val="18"/>
              </w:rPr>
              <w:t>€</w:t>
            </w:r>
          </w:p>
        </w:tc>
        <w:tc>
          <w:tcPr>
            <w:tcW w:w="1354" w:type="dxa"/>
            <w:shd w:val="clear" w:color="auto" w:fill="B4C6E7" w:themeFill="accent1" w:themeFillTint="66"/>
            <w:vAlign w:val="center"/>
          </w:tcPr>
          <w:p w14:paraId="2B4A66E6" w14:textId="36E5F987" w:rsidR="00B70A95" w:rsidRPr="008821A7" w:rsidRDefault="00B70A95" w:rsidP="00B70A95">
            <w:pPr>
              <w:autoSpaceDE w:val="0"/>
              <w:autoSpaceDN w:val="0"/>
              <w:adjustRightInd w:val="0"/>
              <w:jc w:val="center"/>
              <w:rPr>
                <w:rFonts w:cstheme="minorHAnsi"/>
                <w:b/>
                <w:sz w:val="18"/>
                <w:szCs w:val="18"/>
              </w:rPr>
            </w:pPr>
            <w:r w:rsidRPr="008821A7">
              <w:rPr>
                <w:rFonts w:cstheme="minorHAnsi"/>
                <w:b/>
                <w:sz w:val="18"/>
                <w:szCs w:val="18"/>
              </w:rPr>
              <w:t xml:space="preserve">38.980,00 </w:t>
            </w:r>
            <w:r w:rsidRPr="008821A7">
              <w:rPr>
                <w:rFonts w:cstheme="minorHAnsi"/>
                <w:sz w:val="18"/>
                <w:szCs w:val="18"/>
              </w:rPr>
              <w:t>€</w:t>
            </w:r>
          </w:p>
        </w:tc>
      </w:tr>
      <w:tr w:rsidR="00B93FDE" w:rsidRPr="000C6BCD" w14:paraId="5FB85CE2" w14:textId="77777777" w:rsidTr="005E5068">
        <w:trPr>
          <w:jc w:val="center"/>
        </w:trPr>
        <w:tc>
          <w:tcPr>
            <w:tcW w:w="3910" w:type="dxa"/>
            <w:shd w:val="clear" w:color="auto" w:fill="B4C6E7" w:themeFill="accent1" w:themeFillTint="66"/>
            <w:vAlign w:val="center"/>
          </w:tcPr>
          <w:p w14:paraId="5E262E05" w14:textId="0E8B7063" w:rsidR="00B93FDE" w:rsidRPr="008821A7" w:rsidRDefault="00B93FDE" w:rsidP="00B93FDE">
            <w:pPr>
              <w:autoSpaceDE w:val="0"/>
              <w:autoSpaceDN w:val="0"/>
              <w:adjustRightInd w:val="0"/>
              <w:rPr>
                <w:rFonts w:cstheme="minorHAnsi"/>
                <w:b/>
                <w:sz w:val="18"/>
                <w:szCs w:val="18"/>
              </w:rPr>
            </w:pPr>
            <w:r w:rsidRPr="008821A7">
              <w:rPr>
                <w:rFonts w:cstheme="minorHAnsi"/>
                <w:b/>
                <w:sz w:val="18"/>
                <w:szCs w:val="18"/>
              </w:rPr>
              <w:t>[</w:t>
            </w:r>
            <w:r w:rsidR="00F80497" w:rsidRPr="008821A7">
              <w:rPr>
                <w:rFonts w:cstheme="minorHAnsi"/>
                <w:b/>
                <w:sz w:val="18"/>
                <w:szCs w:val="18"/>
              </w:rPr>
              <w:t>m</w:t>
            </w:r>
            <w:r w:rsidRPr="008821A7">
              <w:rPr>
                <w:rFonts w:cstheme="minorHAnsi"/>
                <w:b/>
                <w:sz w:val="18"/>
                <w:szCs w:val="18"/>
              </w:rPr>
              <w:t>] Importo spesa Fondo su aumento cap</w:t>
            </w:r>
            <w:r w:rsidR="00F80497" w:rsidRPr="008821A7">
              <w:rPr>
                <w:rFonts w:cstheme="minorHAnsi"/>
                <w:b/>
                <w:sz w:val="18"/>
                <w:szCs w:val="18"/>
              </w:rPr>
              <w:t>itale</w:t>
            </w:r>
            <w:r w:rsidRPr="008821A7">
              <w:rPr>
                <w:rFonts w:cstheme="minorHAnsi"/>
                <w:b/>
                <w:sz w:val="18"/>
                <w:szCs w:val="18"/>
              </w:rPr>
              <w:t xml:space="preserve"> %</w:t>
            </w:r>
          </w:p>
        </w:tc>
        <w:tc>
          <w:tcPr>
            <w:tcW w:w="1936" w:type="dxa"/>
            <w:shd w:val="clear" w:color="auto" w:fill="B4C6E7" w:themeFill="accent1" w:themeFillTint="66"/>
            <w:vAlign w:val="center"/>
          </w:tcPr>
          <w:p w14:paraId="79C04E3B" w14:textId="43751FAD" w:rsidR="00B93FDE" w:rsidRPr="008821A7" w:rsidRDefault="00F80497" w:rsidP="00B93FDE">
            <w:pPr>
              <w:autoSpaceDE w:val="0"/>
              <w:autoSpaceDN w:val="0"/>
              <w:adjustRightInd w:val="0"/>
              <w:jc w:val="center"/>
              <w:rPr>
                <w:rFonts w:cstheme="minorHAnsi"/>
                <w:b/>
                <w:sz w:val="18"/>
                <w:szCs w:val="18"/>
              </w:rPr>
            </w:pPr>
            <w:r w:rsidRPr="008821A7">
              <w:rPr>
                <w:rFonts w:cstheme="minorHAnsi"/>
                <w:b/>
                <w:sz w:val="18"/>
                <w:szCs w:val="18"/>
              </w:rPr>
              <w:t>([l]/[a</w:t>
            </w:r>
            <w:proofErr w:type="gramStart"/>
            <w:r w:rsidRPr="008821A7">
              <w:rPr>
                <w:rFonts w:cstheme="minorHAnsi"/>
                <w:b/>
                <w:sz w:val="18"/>
                <w:szCs w:val="18"/>
              </w:rPr>
              <w:t>])*</w:t>
            </w:r>
            <w:proofErr w:type="gramEnd"/>
            <w:r w:rsidRPr="008821A7">
              <w:rPr>
                <w:rFonts w:cstheme="minorHAnsi"/>
                <w:b/>
                <w:sz w:val="18"/>
                <w:szCs w:val="18"/>
              </w:rPr>
              <w:t>100</w:t>
            </w:r>
          </w:p>
        </w:tc>
        <w:tc>
          <w:tcPr>
            <w:tcW w:w="1214" w:type="dxa"/>
            <w:shd w:val="clear" w:color="auto" w:fill="B4C6E7" w:themeFill="accent1" w:themeFillTint="66"/>
            <w:vAlign w:val="bottom"/>
          </w:tcPr>
          <w:p w14:paraId="61861429" w14:textId="00DE969B" w:rsidR="00B93FDE" w:rsidRPr="008821A7" w:rsidRDefault="008821A7" w:rsidP="00B93FDE">
            <w:pPr>
              <w:autoSpaceDE w:val="0"/>
              <w:autoSpaceDN w:val="0"/>
              <w:adjustRightInd w:val="0"/>
              <w:jc w:val="center"/>
              <w:rPr>
                <w:rFonts w:cstheme="minorHAnsi"/>
                <w:b/>
                <w:sz w:val="18"/>
                <w:szCs w:val="18"/>
              </w:rPr>
            </w:pPr>
            <w:r>
              <w:rPr>
                <w:rFonts w:cstheme="minorHAnsi"/>
                <w:b/>
                <w:sz w:val="18"/>
                <w:szCs w:val="18"/>
              </w:rPr>
              <w:t>38</w:t>
            </w:r>
            <w:r w:rsidR="00B93FDE" w:rsidRPr="008821A7">
              <w:rPr>
                <w:rFonts w:cstheme="minorHAnsi"/>
                <w:b/>
                <w:sz w:val="18"/>
                <w:szCs w:val="18"/>
              </w:rPr>
              <w:t>,</w:t>
            </w:r>
            <w:r>
              <w:rPr>
                <w:rFonts w:cstheme="minorHAnsi"/>
                <w:b/>
                <w:sz w:val="18"/>
                <w:szCs w:val="18"/>
              </w:rPr>
              <w:t>92</w:t>
            </w:r>
            <w:r w:rsidRPr="008821A7">
              <w:rPr>
                <w:rFonts w:cstheme="minorHAnsi"/>
                <w:b/>
                <w:sz w:val="18"/>
                <w:szCs w:val="18"/>
              </w:rPr>
              <w:t xml:space="preserve"> </w:t>
            </w:r>
            <w:r w:rsidR="00B93FDE" w:rsidRPr="008821A7">
              <w:rPr>
                <w:rFonts w:cstheme="minorHAnsi"/>
                <w:b/>
                <w:sz w:val="18"/>
                <w:szCs w:val="18"/>
              </w:rPr>
              <w:t>%</w:t>
            </w:r>
          </w:p>
        </w:tc>
        <w:tc>
          <w:tcPr>
            <w:tcW w:w="1214" w:type="dxa"/>
            <w:shd w:val="clear" w:color="auto" w:fill="B4C6E7" w:themeFill="accent1" w:themeFillTint="66"/>
            <w:vAlign w:val="bottom"/>
          </w:tcPr>
          <w:p w14:paraId="6FC043EE" w14:textId="18BA9A38" w:rsidR="00B93FDE" w:rsidRPr="008821A7" w:rsidRDefault="00B93FDE" w:rsidP="00B93FDE">
            <w:pPr>
              <w:autoSpaceDE w:val="0"/>
              <w:autoSpaceDN w:val="0"/>
              <w:adjustRightInd w:val="0"/>
              <w:jc w:val="center"/>
              <w:rPr>
                <w:rFonts w:cstheme="minorHAnsi"/>
                <w:b/>
                <w:sz w:val="18"/>
                <w:szCs w:val="18"/>
              </w:rPr>
            </w:pPr>
            <w:bookmarkStart w:id="20" w:name="_Hlk183678297"/>
            <w:r w:rsidRPr="008821A7">
              <w:rPr>
                <w:rFonts w:cstheme="minorHAnsi"/>
                <w:b/>
                <w:sz w:val="18"/>
                <w:szCs w:val="18"/>
              </w:rPr>
              <w:t>26,94 %</w:t>
            </w:r>
            <w:bookmarkEnd w:id="20"/>
          </w:p>
        </w:tc>
        <w:tc>
          <w:tcPr>
            <w:tcW w:w="1354" w:type="dxa"/>
            <w:shd w:val="clear" w:color="auto" w:fill="B4C6E7" w:themeFill="accent1" w:themeFillTint="66"/>
            <w:vAlign w:val="bottom"/>
          </w:tcPr>
          <w:p w14:paraId="3DFAF5E6" w14:textId="26EA952C" w:rsidR="00B93FDE" w:rsidRPr="008821A7" w:rsidRDefault="00B93FDE" w:rsidP="00B93FDE">
            <w:pPr>
              <w:autoSpaceDE w:val="0"/>
              <w:autoSpaceDN w:val="0"/>
              <w:adjustRightInd w:val="0"/>
              <w:jc w:val="center"/>
              <w:rPr>
                <w:rFonts w:cstheme="minorHAnsi"/>
                <w:b/>
                <w:sz w:val="18"/>
                <w:szCs w:val="18"/>
              </w:rPr>
            </w:pPr>
            <w:r w:rsidRPr="008821A7">
              <w:rPr>
                <w:rFonts w:cstheme="minorHAnsi"/>
                <w:b/>
                <w:sz w:val="18"/>
                <w:szCs w:val="18"/>
              </w:rPr>
              <w:t>25,99 %</w:t>
            </w:r>
          </w:p>
        </w:tc>
      </w:tr>
    </w:tbl>
    <w:p w14:paraId="2BD92E00" w14:textId="76ACF500" w:rsidR="001E631D" w:rsidRPr="00063D2B" w:rsidRDefault="001E631D" w:rsidP="001E631D">
      <w:pPr>
        <w:spacing w:after="120" w:line="240" w:lineRule="auto"/>
        <w:ind w:right="-1"/>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 La modalità di calcolo dell’Equivalente Sovvenzione Lordo (ESL) è quella prevista dal “Metodo nazionale</w:t>
      </w:r>
      <w:r w:rsidRPr="001E631D">
        <w:rPr>
          <w:rFonts w:eastAsia="Aptos" w:cstheme="minorHAnsi"/>
          <w:i/>
          <w:iCs/>
          <w:kern w:val="2"/>
          <w:sz w:val="18"/>
          <w:szCs w:val="18"/>
          <w14:ligatures w14:val="standardContextual"/>
        </w:rPr>
        <w:t xml:space="preserve"> per calcolare l'elemento di aiuto nelle garanzie a favore delle PMI n.182/201</w:t>
      </w:r>
      <w:r>
        <w:rPr>
          <w:rFonts w:eastAsia="Aptos" w:cstheme="minorHAnsi"/>
          <w:i/>
          <w:iCs/>
          <w:kern w:val="2"/>
          <w:sz w:val="18"/>
          <w:szCs w:val="18"/>
          <w14:ligatures w14:val="standardContextual"/>
        </w:rPr>
        <w:t>0”</w:t>
      </w:r>
    </w:p>
    <w:p w14:paraId="0B172B5A" w14:textId="1715B79F" w:rsidR="00C35E4E" w:rsidRPr="00B70A95" w:rsidRDefault="005E4B3A" w:rsidP="001E631D">
      <w:pPr>
        <w:autoSpaceDE w:val="0"/>
        <w:autoSpaceDN w:val="0"/>
        <w:adjustRightInd w:val="0"/>
        <w:spacing w:after="120" w:line="276" w:lineRule="auto"/>
        <w:jc w:val="both"/>
        <w:rPr>
          <w:rFonts w:cstheme="minorHAnsi"/>
        </w:rPr>
      </w:pPr>
      <w:r w:rsidRPr="00480259">
        <w:rPr>
          <w:rFonts w:cstheme="minorHAnsi"/>
        </w:rPr>
        <w:lastRenderedPageBreak/>
        <w:t xml:space="preserve">Ipotizzando un utilizzo della Linea A e della Linea B del 20% e </w:t>
      </w:r>
      <w:r w:rsidR="00C35E4E" w:rsidRPr="00480259">
        <w:rPr>
          <w:rFonts w:cstheme="minorHAnsi"/>
        </w:rPr>
        <w:t>dell’</w:t>
      </w:r>
      <w:r w:rsidRPr="00480259">
        <w:rPr>
          <w:rFonts w:cstheme="minorHAnsi"/>
        </w:rPr>
        <w:t xml:space="preserve">80% </w:t>
      </w:r>
      <w:r w:rsidR="004C16F8" w:rsidRPr="00480259">
        <w:rPr>
          <w:rFonts w:cstheme="minorHAnsi"/>
        </w:rPr>
        <w:t xml:space="preserve">si ottengono i </w:t>
      </w:r>
      <w:r w:rsidRPr="00480259">
        <w:rPr>
          <w:rFonts w:cstheme="minorHAnsi"/>
        </w:rPr>
        <w:t xml:space="preserve">risultati riportati nella tabella </w:t>
      </w:r>
      <w:r w:rsidR="00943BEB" w:rsidRPr="00480259">
        <w:rPr>
          <w:rFonts w:cstheme="minorHAnsi"/>
        </w:rPr>
        <w:t>1</w:t>
      </w:r>
      <w:r w:rsidR="00AB382D" w:rsidRPr="00480259">
        <w:rPr>
          <w:rFonts w:cstheme="minorHAnsi"/>
        </w:rPr>
        <w:t>1</w:t>
      </w:r>
      <w:r w:rsidRPr="00480259">
        <w:rPr>
          <w:rFonts w:cstheme="minorHAnsi"/>
        </w:rPr>
        <w:t>.</w:t>
      </w:r>
      <w:r w:rsidR="001E631D" w:rsidRPr="00480259">
        <w:rPr>
          <w:rFonts w:cstheme="minorHAnsi"/>
        </w:rPr>
        <w:t xml:space="preserve"> </w:t>
      </w:r>
      <w:r w:rsidR="004E46F1" w:rsidRPr="00480259">
        <w:rPr>
          <w:rFonts w:cstheme="minorHAnsi"/>
        </w:rPr>
        <w:t xml:space="preserve">Per la </w:t>
      </w:r>
      <w:r w:rsidR="004E46F1" w:rsidRPr="00480259">
        <w:rPr>
          <w:rFonts w:cstheme="minorHAnsi"/>
          <w:i/>
          <w:iCs/>
        </w:rPr>
        <w:t>Linea A</w:t>
      </w:r>
      <w:r w:rsidR="004E46F1" w:rsidRPr="00480259">
        <w:rPr>
          <w:rFonts w:cstheme="minorHAnsi"/>
        </w:rPr>
        <w:t xml:space="preserve"> la dotazione è di </w:t>
      </w:r>
      <w:r w:rsidR="00C518E9" w:rsidRPr="00480259">
        <w:rPr>
          <w:rFonts w:cstheme="minorHAnsi"/>
        </w:rPr>
        <w:t>1.581.947,46 € [c]</w:t>
      </w:r>
      <w:r w:rsidR="004E46F1" w:rsidRPr="00480259">
        <w:rPr>
          <w:rFonts w:cstheme="minorHAnsi"/>
        </w:rPr>
        <w:t xml:space="preserve"> con un numero di operazioni stimate di </w:t>
      </w:r>
      <w:r w:rsidR="00BA52A1" w:rsidRPr="00480259">
        <w:rPr>
          <w:rFonts w:cstheme="minorHAnsi"/>
        </w:rPr>
        <w:t xml:space="preserve">163 </w:t>
      </w:r>
      <w:r w:rsidR="004E46F1" w:rsidRPr="00480259">
        <w:rPr>
          <w:rFonts w:cstheme="minorHAnsi"/>
        </w:rPr>
        <w:t>[</w:t>
      </w:r>
      <w:r w:rsidR="00C518E9" w:rsidRPr="00480259">
        <w:rPr>
          <w:rFonts w:cstheme="minorHAnsi"/>
        </w:rPr>
        <w:t>d</w:t>
      </w:r>
      <w:r w:rsidR="004E46F1" w:rsidRPr="00480259">
        <w:rPr>
          <w:rFonts w:cstheme="minorHAnsi"/>
        </w:rPr>
        <w:t>] per un valore di 25.000,00 (aumento di capitale]. Il totale complessivo della patrimonializzazione [</w:t>
      </w:r>
      <w:r w:rsidR="00520971" w:rsidRPr="00480259">
        <w:rPr>
          <w:rFonts w:cstheme="minorHAnsi"/>
        </w:rPr>
        <w:t>e</w:t>
      </w:r>
      <w:r w:rsidR="004E46F1" w:rsidRPr="00480259">
        <w:rPr>
          <w:rFonts w:cstheme="minorHAnsi"/>
        </w:rPr>
        <w:t xml:space="preserve">] è di </w:t>
      </w:r>
      <w:r w:rsidR="00C518E9" w:rsidRPr="00480259">
        <w:rPr>
          <w:rFonts w:cstheme="minorHAnsi"/>
        </w:rPr>
        <w:t>4.</w:t>
      </w:r>
      <w:r w:rsidR="00BA52A1" w:rsidRPr="00480259">
        <w:rPr>
          <w:rFonts w:cstheme="minorHAnsi"/>
        </w:rPr>
        <w:t>075</w:t>
      </w:r>
      <w:r w:rsidR="00C518E9" w:rsidRPr="00480259">
        <w:rPr>
          <w:rFonts w:cstheme="minorHAnsi"/>
        </w:rPr>
        <w:t>.000,00 €</w:t>
      </w:r>
      <w:r w:rsidR="004E46F1" w:rsidRPr="00480259">
        <w:rPr>
          <w:rFonts w:cstheme="minorHAnsi"/>
        </w:rPr>
        <w:t xml:space="preserve"> </w:t>
      </w:r>
      <w:r w:rsidR="00C46DDC" w:rsidRPr="00480259">
        <w:rPr>
          <w:rFonts w:cstheme="minorHAnsi"/>
        </w:rPr>
        <w:t>([</w:t>
      </w:r>
      <w:r w:rsidR="00520971" w:rsidRPr="00480259">
        <w:rPr>
          <w:rFonts w:cstheme="minorHAnsi"/>
        </w:rPr>
        <w:t>d</w:t>
      </w:r>
      <w:r w:rsidR="00C46DDC" w:rsidRPr="00480259">
        <w:rPr>
          <w:rFonts w:cstheme="minorHAnsi"/>
        </w:rPr>
        <w:t xml:space="preserve">] * 25.000,00 €) </w:t>
      </w:r>
      <w:r w:rsidR="004E46F1" w:rsidRPr="00480259">
        <w:rPr>
          <w:rFonts w:cstheme="minorHAnsi"/>
        </w:rPr>
        <w:t>per una quota complessiva di finanziamenti [</w:t>
      </w:r>
      <w:r w:rsidR="00520971" w:rsidRPr="00480259">
        <w:rPr>
          <w:rFonts w:cstheme="minorHAnsi"/>
        </w:rPr>
        <w:t>f</w:t>
      </w:r>
      <w:r w:rsidR="004E46F1" w:rsidRPr="00480259">
        <w:rPr>
          <w:rFonts w:cstheme="minorHAnsi"/>
        </w:rPr>
        <w:t xml:space="preserve">] pari a </w:t>
      </w:r>
      <w:r w:rsidR="00BA52A1" w:rsidRPr="00480259">
        <w:rPr>
          <w:rFonts w:cstheme="minorHAnsi"/>
        </w:rPr>
        <w:t>2</w:t>
      </w:r>
      <w:r w:rsidR="00C518E9" w:rsidRPr="00480259">
        <w:rPr>
          <w:rFonts w:cstheme="minorHAnsi"/>
        </w:rPr>
        <w:t>.</w:t>
      </w:r>
      <w:r w:rsidR="00BA52A1" w:rsidRPr="00480259">
        <w:rPr>
          <w:rFonts w:cstheme="minorHAnsi"/>
        </w:rPr>
        <w:t>139</w:t>
      </w:r>
      <w:r w:rsidR="00C518E9" w:rsidRPr="00480259">
        <w:rPr>
          <w:rFonts w:cstheme="minorHAnsi"/>
        </w:rPr>
        <w:t>.</w:t>
      </w:r>
      <w:r w:rsidR="00BA52A1" w:rsidRPr="00480259">
        <w:rPr>
          <w:rFonts w:cstheme="minorHAnsi"/>
        </w:rPr>
        <w:t>375</w:t>
      </w:r>
      <w:r w:rsidR="00C518E9" w:rsidRPr="00480259">
        <w:rPr>
          <w:rFonts w:cstheme="minorHAnsi"/>
        </w:rPr>
        <w:t>,00 €</w:t>
      </w:r>
      <w:r w:rsidR="00520971" w:rsidRPr="00480259">
        <w:rPr>
          <w:rFonts w:cstheme="minorHAnsi"/>
        </w:rPr>
        <w:t xml:space="preserve"> ([d] * </w:t>
      </w:r>
      <w:r w:rsidR="00BA52A1" w:rsidRPr="00480259">
        <w:rPr>
          <w:rFonts w:cstheme="minorHAnsi"/>
        </w:rPr>
        <w:t>13.125</w:t>
      </w:r>
      <w:r w:rsidR="00520971" w:rsidRPr="00480259">
        <w:rPr>
          <w:rFonts w:cstheme="minorHAnsi"/>
        </w:rPr>
        <w:t>,00 €)</w:t>
      </w:r>
      <w:r w:rsidR="004E46F1" w:rsidRPr="00480259">
        <w:rPr>
          <w:rFonts w:cstheme="minorHAnsi"/>
        </w:rPr>
        <w:t>.</w:t>
      </w:r>
    </w:p>
    <w:p w14:paraId="4882B53D" w14:textId="4B344659" w:rsidR="004E46F1" w:rsidRPr="00B70A95" w:rsidRDefault="004E46F1" w:rsidP="001E631D">
      <w:pPr>
        <w:autoSpaceDE w:val="0"/>
        <w:autoSpaceDN w:val="0"/>
        <w:adjustRightInd w:val="0"/>
        <w:spacing w:after="120" w:line="276" w:lineRule="auto"/>
        <w:jc w:val="both"/>
        <w:rPr>
          <w:rFonts w:cstheme="minorHAnsi"/>
        </w:rPr>
      </w:pPr>
      <w:r w:rsidRPr="00B70A95">
        <w:rPr>
          <w:rFonts w:cstheme="minorHAnsi"/>
        </w:rPr>
        <w:t xml:space="preserve">Relativamente alla </w:t>
      </w:r>
      <w:r w:rsidRPr="00B70A95">
        <w:rPr>
          <w:rFonts w:cstheme="minorHAnsi"/>
          <w:i/>
          <w:iCs/>
        </w:rPr>
        <w:t>Linea B</w:t>
      </w:r>
      <w:r w:rsidRPr="00B70A95">
        <w:rPr>
          <w:rFonts w:cstheme="minorHAnsi"/>
        </w:rPr>
        <w:t xml:space="preserve"> la dotazione è di </w:t>
      </w:r>
      <w:r w:rsidR="00C518E9" w:rsidRPr="00C518E9">
        <w:rPr>
          <w:rFonts w:cstheme="minorHAnsi"/>
        </w:rPr>
        <w:t>6.327.789,82 €</w:t>
      </w:r>
      <w:r w:rsidR="00C518E9">
        <w:rPr>
          <w:rFonts w:cstheme="minorHAnsi"/>
        </w:rPr>
        <w:t xml:space="preserve"> [c] </w:t>
      </w:r>
      <w:r w:rsidRPr="00B70A95">
        <w:rPr>
          <w:rFonts w:cstheme="minorHAnsi"/>
        </w:rPr>
        <w:t xml:space="preserve">con un numero di operazioni stimate di </w:t>
      </w:r>
      <w:r w:rsidR="00C518E9">
        <w:rPr>
          <w:rFonts w:cstheme="minorHAnsi"/>
        </w:rPr>
        <w:t>783</w:t>
      </w:r>
      <w:r w:rsidRPr="00B70A95">
        <w:rPr>
          <w:rFonts w:cstheme="minorHAnsi"/>
        </w:rPr>
        <w:t xml:space="preserve"> [</w:t>
      </w:r>
      <w:r w:rsidR="00C518E9">
        <w:rPr>
          <w:rFonts w:cstheme="minorHAnsi"/>
        </w:rPr>
        <w:t>d</w:t>
      </w:r>
      <w:r w:rsidRPr="00B70A95">
        <w:rPr>
          <w:rFonts w:cstheme="minorHAnsi"/>
        </w:rPr>
        <w:t>] per un valore di 30.000,00 (aumento di capitale). Il totale complessivo della patrimonializzazione [</w:t>
      </w:r>
      <w:r w:rsidR="00C518E9">
        <w:rPr>
          <w:rFonts w:cstheme="minorHAnsi"/>
        </w:rPr>
        <w:t>e</w:t>
      </w:r>
      <w:r w:rsidRPr="00B70A95">
        <w:rPr>
          <w:rFonts w:cstheme="minorHAnsi"/>
        </w:rPr>
        <w:t xml:space="preserve">] è di </w:t>
      </w:r>
      <w:r w:rsidR="00C518E9" w:rsidRPr="00C518E9">
        <w:rPr>
          <w:rFonts w:cstheme="minorHAnsi"/>
        </w:rPr>
        <w:t>23.490.000,00 €</w:t>
      </w:r>
      <w:r w:rsidR="00C46DDC" w:rsidRPr="00B70A95">
        <w:rPr>
          <w:rFonts w:cstheme="minorHAnsi"/>
        </w:rPr>
        <w:t xml:space="preserve"> ([</w:t>
      </w:r>
      <w:r w:rsidR="00C518E9">
        <w:rPr>
          <w:rFonts w:cstheme="minorHAnsi"/>
        </w:rPr>
        <w:t>d</w:t>
      </w:r>
      <w:r w:rsidR="00C46DDC" w:rsidRPr="00B70A95">
        <w:rPr>
          <w:rFonts w:cstheme="minorHAnsi"/>
        </w:rPr>
        <w:t>] * 30.000,00 €)</w:t>
      </w:r>
      <w:r w:rsidRPr="00B70A95">
        <w:rPr>
          <w:rFonts w:cstheme="minorHAnsi"/>
        </w:rPr>
        <w:t xml:space="preserve"> per una quota complessiva di finanziamenti [</w:t>
      </w:r>
      <w:r w:rsidR="00C518E9">
        <w:rPr>
          <w:rFonts w:cstheme="minorHAnsi"/>
        </w:rPr>
        <w:t>f</w:t>
      </w:r>
      <w:r w:rsidRPr="00B70A95">
        <w:rPr>
          <w:rFonts w:cstheme="minorHAnsi"/>
        </w:rPr>
        <w:t xml:space="preserve">] pari a </w:t>
      </w:r>
      <w:r w:rsidR="00C518E9" w:rsidRPr="00C518E9">
        <w:rPr>
          <w:rFonts w:cstheme="minorHAnsi"/>
        </w:rPr>
        <w:t>9.396.000,00 €</w:t>
      </w:r>
      <w:r w:rsidR="00520971">
        <w:rPr>
          <w:rFonts w:cstheme="minorHAnsi"/>
        </w:rPr>
        <w:t xml:space="preserve"> ([d] * </w:t>
      </w:r>
      <w:r w:rsidR="00CA4E4B">
        <w:rPr>
          <w:rFonts w:cstheme="minorHAnsi"/>
        </w:rPr>
        <w:t>12.000</w:t>
      </w:r>
      <w:r w:rsidR="00520971">
        <w:rPr>
          <w:rFonts w:cstheme="minorHAnsi"/>
        </w:rPr>
        <w:t>,00 €)</w:t>
      </w:r>
      <w:r w:rsidR="001E631D">
        <w:rPr>
          <w:rFonts w:cstheme="minorHAnsi"/>
        </w:rPr>
        <w:t>.</w:t>
      </w:r>
    </w:p>
    <w:p w14:paraId="7C189F22" w14:textId="5593D702" w:rsidR="00080B6C" w:rsidRPr="00B70A95" w:rsidRDefault="00080B6C" w:rsidP="001E631D">
      <w:pPr>
        <w:autoSpaceDE w:val="0"/>
        <w:autoSpaceDN w:val="0"/>
        <w:adjustRightInd w:val="0"/>
        <w:spacing w:after="120" w:line="276" w:lineRule="auto"/>
        <w:jc w:val="both"/>
        <w:rPr>
          <w:rFonts w:cstheme="minorHAnsi"/>
        </w:rPr>
      </w:pPr>
      <w:r w:rsidRPr="00B70A95">
        <w:rPr>
          <w:rFonts w:cstheme="minorHAnsi"/>
        </w:rPr>
        <w:t>In questo scenario la leva finanziaria</w:t>
      </w:r>
      <w:r w:rsidR="00041438" w:rsidRPr="00B70A95">
        <w:rPr>
          <w:rStyle w:val="Rimandonotaapidipagina"/>
          <w:rFonts w:cstheme="minorHAnsi"/>
        </w:rPr>
        <w:footnoteReference w:id="11"/>
      </w:r>
      <w:r w:rsidRPr="00B70A95">
        <w:rPr>
          <w:rFonts w:cstheme="minorHAnsi"/>
        </w:rPr>
        <w:t xml:space="preserve"> [g] è di 1,3</w:t>
      </w:r>
      <w:r w:rsidR="00E14C6A">
        <w:rPr>
          <w:rFonts w:cstheme="minorHAnsi"/>
        </w:rPr>
        <w:t>8</w:t>
      </w:r>
      <w:r w:rsidRPr="00B70A95">
        <w:rPr>
          <w:rFonts w:cstheme="minorHAnsi"/>
        </w:rPr>
        <w:t xml:space="preserve"> ([</w:t>
      </w:r>
      <w:r w:rsidR="00CA4E4B">
        <w:rPr>
          <w:rFonts w:cstheme="minorHAnsi"/>
        </w:rPr>
        <w:t>f</w:t>
      </w:r>
      <w:r w:rsidRPr="00B70A95">
        <w:rPr>
          <w:rFonts w:cstheme="minorHAnsi"/>
        </w:rPr>
        <w:t>] Linea A+B / [a]).</w:t>
      </w:r>
    </w:p>
    <w:p w14:paraId="275FFC43" w14:textId="3B91207E" w:rsidR="004E46F1" w:rsidRPr="00EE2A3F" w:rsidRDefault="00EE2A3F" w:rsidP="00846E68">
      <w:pPr>
        <w:spacing w:after="0" w:line="240" w:lineRule="auto"/>
        <w:jc w:val="both"/>
        <w:rPr>
          <w:rFonts w:eastAsia="Aptos" w:cstheme="minorHAnsi"/>
          <w:i/>
          <w:iCs/>
          <w:kern w:val="2"/>
          <w:sz w:val="20"/>
          <w:szCs w:val="20"/>
          <w14:ligatures w14:val="standardContextual"/>
        </w:rPr>
      </w:pPr>
      <w:proofErr w:type="spellStart"/>
      <w:r w:rsidRPr="00EE2A3F">
        <w:rPr>
          <w:rFonts w:eastAsia="Aptos" w:cstheme="minorHAnsi"/>
          <w:i/>
          <w:iCs/>
          <w:kern w:val="2"/>
          <w:sz w:val="20"/>
          <w:szCs w:val="20"/>
          <w14:ligatures w14:val="standardContextual"/>
        </w:rPr>
        <w:t>Tab</w:t>
      </w:r>
      <w:proofErr w:type="spellEnd"/>
      <w:r w:rsidRPr="00EE2A3F">
        <w:rPr>
          <w:rFonts w:eastAsia="Aptos" w:cstheme="minorHAnsi"/>
          <w:i/>
          <w:iCs/>
          <w:kern w:val="2"/>
          <w:sz w:val="20"/>
          <w:szCs w:val="20"/>
          <w14:ligatures w14:val="standardContextual"/>
        </w:rPr>
        <w:t xml:space="preserve">. </w:t>
      </w:r>
      <w:r w:rsidR="005C77DE">
        <w:rPr>
          <w:rFonts w:eastAsia="Aptos" w:cstheme="minorHAnsi"/>
          <w:i/>
          <w:iCs/>
          <w:kern w:val="2"/>
          <w:sz w:val="20"/>
          <w:szCs w:val="20"/>
          <w14:ligatures w14:val="standardContextual"/>
        </w:rPr>
        <w:t>11</w:t>
      </w:r>
      <w:r w:rsidRPr="00EE2A3F">
        <w:rPr>
          <w:rFonts w:eastAsia="Aptos" w:cstheme="minorHAnsi"/>
          <w:i/>
          <w:iCs/>
          <w:kern w:val="2"/>
          <w:sz w:val="20"/>
          <w:szCs w:val="20"/>
          <w14:ligatures w14:val="standardContextual"/>
        </w:rPr>
        <w:t xml:space="preserve"> </w:t>
      </w:r>
      <w:r w:rsidR="004E46F1" w:rsidRPr="00EE2A3F">
        <w:rPr>
          <w:rFonts w:eastAsia="Aptos" w:cstheme="minorHAnsi"/>
          <w:i/>
          <w:iCs/>
          <w:kern w:val="2"/>
          <w:sz w:val="20"/>
          <w:szCs w:val="20"/>
          <w14:ligatures w14:val="standardContextual"/>
        </w:rPr>
        <w:t>Simulazioni effetto leva</w:t>
      </w:r>
    </w:p>
    <w:tbl>
      <w:tblPr>
        <w:tblStyle w:val="Grigliatabella"/>
        <w:tblW w:w="9634" w:type="dxa"/>
        <w:jc w:val="center"/>
        <w:tblLayout w:type="fixed"/>
        <w:tblLook w:val="04A0" w:firstRow="1" w:lastRow="0" w:firstColumn="1" w:lastColumn="0" w:noHBand="0" w:noVBand="1"/>
      </w:tblPr>
      <w:tblGrid>
        <w:gridCol w:w="4106"/>
        <w:gridCol w:w="2268"/>
        <w:gridCol w:w="1559"/>
        <w:gridCol w:w="1701"/>
      </w:tblGrid>
      <w:tr w:rsidR="00520971" w:rsidRPr="005E5068" w14:paraId="5B7946A9" w14:textId="77777777" w:rsidTr="00DC0B61">
        <w:trPr>
          <w:trHeight w:val="112"/>
          <w:jc w:val="center"/>
        </w:trPr>
        <w:tc>
          <w:tcPr>
            <w:tcW w:w="4106" w:type="dxa"/>
            <w:shd w:val="clear" w:color="auto" w:fill="2F5496" w:themeFill="accent1" w:themeFillShade="BF"/>
            <w:noWrap/>
            <w:hideMark/>
          </w:tcPr>
          <w:p w14:paraId="4BF0D327" w14:textId="77777777" w:rsidR="00520971" w:rsidRPr="00BA52A1" w:rsidRDefault="00520971" w:rsidP="00F4624A">
            <w:pPr>
              <w:autoSpaceDE w:val="0"/>
              <w:autoSpaceDN w:val="0"/>
              <w:adjustRightInd w:val="0"/>
              <w:jc w:val="center"/>
              <w:rPr>
                <w:rFonts w:cstheme="minorHAnsi"/>
                <w:b/>
                <w:bCs/>
                <w:color w:val="FFFFFF" w:themeColor="background1"/>
                <w:sz w:val="20"/>
                <w:szCs w:val="20"/>
              </w:rPr>
            </w:pPr>
            <w:r w:rsidRPr="00BA52A1">
              <w:rPr>
                <w:rFonts w:cstheme="minorHAnsi"/>
                <w:b/>
                <w:bCs/>
                <w:color w:val="FFFFFF" w:themeColor="background1"/>
                <w:sz w:val="20"/>
                <w:szCs w:val="20"/>
              </w:rPr>
              <w:t>Voce</w:t>
            </w:r>
          </w:p>
        </w:tc>
        <w:tc>
          <w:tcPr>
            <w:tcW w:w="2268" w:type="dxa"/>
            <w:shd w:val="clear" w:color="auto" w:fill="2F5496" w:themeFill="accent1" w:themeFillShade="BF"/>
          </w:tcPr>
          <w:p w14:paraId="609CCB5B" w14:textId="0252D9AE" w:rsidR="00520971" w:rsidRPr="00BA52A1" w:rsidRDefault="00520971" w:rsidP="00F4624A">
            <w:pPr>
              <w:autoSpaceDE w:val="0"/>
              <w:autoSpaceDN w:val="0"/>
              <w:adjustRightInd w:val="0"/>
              <w:jc w:val="center"/>
              <w:rPr>
                <w:rFonts w:cstheme="minorHAnsi"/>
                <w:b/>
                <w:bCs/>
                <w:color w:val="FFFFFF" w:themeColor="background1"/>
                <w:sz w:val="20"/>
                <w:szCs w:val="20"/>
              </w:rPr>
            </w:pPr>
            <w:r w:rsidRPr="00BA52A1">
              <w:rPr>
                <w:rFonts w:cstheme="minorHAnsi"/>
                <w:b/>
                <w:color w:val="FFFFFF" w:themeColor="background1"/>
                <w:sz w:val="20"/>
                <w:szCs w:val="20"/>
              </w:rPr>
              <w:t>Modalità calcolo</w:t>
            </w:r>
          </w:p>
        </w:tc>
        <w:tc>
          <w:tcPr>
            <w:tcW w:w="1559" w:type="dxa"/>
            <w:shd w:val="clear" w:color="auto" w:fill="2F5496" w:themeFill="accent1" w:themeFillShade="BF"/>
            <w:noWrap/>
            <w:hideMark/>
          </w:tcPr>
          <w:p w14:paraId="70E1607F" w14:textId="06009D3C" w:rsidR="00520971" w:rsidRPr="00BA52A1" w:rsidRDefault="00520971" w:rsidP="00F4624A">
            <w:pPr>
              <w:autoSpaceDE w:val="0"/>
              <w:autoSpaceDN w:val="0"/>
              <w:adjustRightInd w:val="0"/>
              <w:jc w:val="center"/>
              <w:rPr>
                <w:rFonts w:cstheme="minorHAnsi"/>
                <w:b/>
                <w:bCs/>
                <w:color w:val="FFFFFF" w:themeColor="background1"/>
                <w:sz w:val="20"/>
                <w:szCs w:val="20"/>
              </w:rPr>
            </w:pPr>
            <w:r w:rsidRPr="00BA52A1">
              <w:rPr>
                <w:rFonts w:cstheme="minorHAnsi"/>
                <w:b/>
                <w:bCs/>
                <w:color w:val="FFFFFF" w:themeColor="background1"/>
                <w:sz w:val="20"/>
                <w:szCs w:val="20"/>
              </w:rPr>
              <w:t>Linea A</w:t>
            </w:r>
          </w:p>
        </w:tc>
        <w:tc>
          <w:tcPr>
            <w:tcW w:w="1701" w:type="dxa"/>
            <w:shd w:val="clear" w:color="auto" w:fill="2F5496" w:themeFill="accent1" w:themeFillShade="BF"/>
            <w:noWrap/>
            <w:hideMark/>
          </w:tcPr>
          <w:p w14:paraId="113FE678" w14:textId="77777777" w:rsidR="00520971" w:rsidRPr="00BA52A1" w:rsidRDefault="00520971" w:rsidP="00F4624A">
            <w:pPr>
              <w:autoSpaceDE w:val="0"/>
              <w:autoSpaceDN w:val="0"/>
              <w:adjustRightInd w:val="0"/>
              <w:jc w:val="center"/>
              <w:rPr>
                <w:rFonts w:cstheme="minorHAnsi"/>
                <w:b/>
                <w:bCs/>
                <w:color w:val="FFFFFF" w:themeColor="background1"/>
                <w:sz w:val="20"/>
                <w:szCs w:val="20"/>
              </w:rPr>
            </w:pPr>
            <w:r w:rsidRPr="00BA52A1">
              <w:rPr>
                <w:rFonts w:cstheme="minorHAnsi"/>
                <w:b/>
                <w:bCs/>
                <w:color w:val="FFFFFF" w:themeColor="background1"/>
                <w:sz w:val="20"/>
                <w:szCs w:val="20"/>
              </w:rPr>
              <w:t>Linea B</w:t>
            </w:r>
          </w:p>
        </w:tc>
      </w:tr>
      <w:tr w:rsidR="00520971" w:rsidRPr="005E5068" w14:paraId="29EB4E95" w14:textId="77777777" w:rsidTr="00DC0B61">
        <w:trPr>
          <w:trHeight w:val="124"/>
          <w:jc w:val="center"/>
        </w:trPr>
        <w:tc>
          <w:tcPr>
            <w:tcW w:w="4106" w:type="dxa"/>
            <w:noWrap/>
          </w:tcPr>
          <w:p w14:paraId="5A523EE7" w14:textId="471F44BB" w:rsidR="00520971" w:rsidRPr="00DC0B61" w:rsidRDefault="00520971" w:rsidP="00F4624A">
            <w:pPr>
              <w:autoSpaceDE w:val="0"/>
              <w:autoSpaceDN w:val="0"/>
              <w:adjustRightInd w:val="0"/>
              <w:jc w:val="both"/>
              <w:rPr>
                <w:rFonts w:cstheme="minorHAnsi"/>
                <w:sz w:val="20"/>
                <w:szCs w:val="18"/>
              </w:rPr>
            </w:pPr>
            <w:r w:rsidRPr="00DC0B61">
              <w:rPr>
                <w:rFonts w:cstheme="minorHAnsi"/>
                <w:sz w:val="20"/>
                <w:szCs w:val="18"/>
              </w:rPr>
              <w:t>[a] Dotazione complessiva Fondo</w:t>
            </w:r>
            <w:r w:rsidR="00E14C6A" w:rsidRPr="00DC0B61">
              <w:rPr>
                <w:rFonts w:cstheme="minorHAnsi"/>
                <w:sz w:val="20"/>
                <w:szCs w:val="18"/>
              </w:rPr>
              <w:t>*</w:t>
            </w:r>
          </w:p>
        </w:tc>
        <w:tc>
          <w:tcPr>
            <w:tcW w:w="2268" w:type="dxa"/>
          </w:tcPr>
          <w:p w14:paraId="7558CAE7" w14:textId="58A2536E" w:rsidR="00520971" w:rsidRPr="00DC0B61" w:rsidRDefault="00520971" w:rsidP="005E4B3A">
            <w:pPr>
              <w:autoSpaceDE w:val="0"/>
              <w:autoSpaceDN w:val="0"/>
              <w:adjustRightInd w:val="0"/>
              <w:jc w:val="center"/>
              <w:rPr>
                <w:rFonts w:cstheme="minorHAnsi"/>
                <w:i/>
                <w:iCs/>
                <w:sz w:val="20"/>
                <w:szCs w:val="18"/>
              </w:rPr>
            </w:pPr>
            <w:r w:rsidRPr="00DC0B61">
              <w:rPr>
                <w:rFonts w:cstheme="minorHAnsi"/>
                <w:i/>
                <w:iCs/>
                <w:sz w:val="20"/>
                <w:szCs w:val="18"/>
              </w:rPr>
              <w:t>Valore dato</w:t>
            </w:r>
          </w:p>
        </w:tc>
        <w:tc>
          <w:tcPr>
            <w:tcW w:w="3260" w:type="dxa"/>
            <w:gridSpan w:val="2"/>
            <w:noWrap/>
          </w:tcPr>
          <w:p w14:paraId="6F47A0A8" w14:textId="0B681B91" w:rsidR="00520971" w:rsidRPr="00DC0B61" w:rsidRDefault="00E14C6A" w:rsidP="005E4B3A">
            <w:pPr>
              <w:autoSpaceDE w:val="0"/>
              <w:autoSpaceDN w:val="0"/>
              <w:adjustRightInd w:val="0"/>
              <w:jc w:val="center"/>
              <w:rPr>
                <w:rFonts w:cstheme="minorHAnsi"/>
                <w:sz w:val="20"/>
                <w:szCs w:val="18"/>
              </w:rPr>
            </w:pPr>
            <w:r w:rsidRPr="00DC0B61">
              <w:rPr>
                <w:rFonts w:cstheme="minorHAnsi"/>
                <w:sz w:val="20"/>
                <w:szCs w:val="18"/>
              </w:rPr>
              <w:t xml:space="preserve">7.909.737,28 </w:t>
            </w:r>
            <w:r w:rsidR="00520971" w:rsidRPr="00DC0B61">
              <w:rPr>
                <w:rFonts w:cstheme="minorHAnsi"/>
                <w:sz w:val="20"/>
                <w:szCs w:val="18"/>
              </w:rPr>
              <w:t>€</w:t>
            </w:r>
          </w:p>
        </w:tc>
      </w:tr>
      <w:tr w:rsidR="00520971" w:rsidRPr="005E5068" w14:paraId="418D17A0" w14:textId="77777777" w:rsidTr="00DC0B61">
        <w:trPr>
          <w:trHeight w:val="124"/>
          <w:jc w:val="center"/>
        </w:trPr>
        <w:tc>
          <w:tcPr>
            <w:tcW w:w="4106" w:type="dxa"/>
            <w:noWrap/>
            <w:hideMark/>
          </w:tcPr>
          <w:p w14:paraId="56989CA8" w14:textId="143D5FD1" w:rsidR="00520971" w:rsidRPr="00DC0B61" w:rsidRDefault="00520971" w:rsidP="00F4624A">
            <w:pPr>
              <w:autoSpaceDE w:val="0"/>
              <w:autoSpaceDN w:val="0"/>
              <w:adjustRightInd w:val="0"/>
              <w:jc w:val="both"/>
              <w:rPr>
                <w:rFonts w:cstheme="minorHAnsi"/>
                <w:sz w:val="20"/>
                <w:szCs w:val="18"/>
              </w:rPr>
            </w:pPr>
            <w:r w:rsidRPr="00DC0B61">
              <w:rPr>
                <w:rFonts w:cstheme="minorHAnsi"/>
                <w:sz w:val="20"/>
                <w:szCs w:val="18"/>
              </w:rPr>
              <w:t>[b] Quota del Fondo impegnata dalle tipologie di operazioni (A/B)</w:t>
            </w:r>
          </w:p>
        </w:tc>
        <w:tc>
          <w:tcPr>
            <w:tcW w:w="2268" w:type="dxa"/>
          </w:tcPr>
          <w:p w14:paraId="10E5F665" w14:textId="7C36A2B2" w:rsidR="00520971" w:rsidRPr="00DC0B61" w:rsidRDefault="00520971" w:rsidP="005E4B3A">
            <w:pPr>
              <w:autoSpaceDE w:val="0"/>
              <w:autoSpaceDN w:val="0"/>
              <w:adjustRightInd w:val="0"/>
              <w:jc w:val="center"/>
              <w:rPr>
                <w:rFonts w:cstheme="minorHAnsi"/>
                <w:sz w:val="20"/>
                <w:szCs w:val="18"/>
              </w:rPr>
            </w:pPr>
            <w:r w:rsidRPr="00DC0B61">
              <w:rPr>
                <w:rFonts w:cstheme="minorHAnsi"/>
                <w:i/>
                <w:iCs/>
                <w:sz w:val="20"/>
                <w:szCs w:val="18"/>
              </w:rPr>
              <w:t>Valore ipotizzato</w:t>
            </w:r>
          </w:p>
        </w:tc>
        <w:tc>
          <w:tcPr>
            <w:tcW w:w="1559" w:type="dxa"/>
            <w:noWrap/>
            <w:hideMark/>
          </w:tcPr>
          <w:p w14:paraId="37BEBC03" w14:textId="3230B03E" w:rsidR="00520971" w:rsidRPr="00DC0B61" w:rsidRDefault="00520971" w:rsidP="005E4B3A">
            <w:pPr>
              <w:autoSpaceDE w:val="0"/>
              <w:autoSpaceDN w:val="0"/>
              <w:adjustRightInd w:val="0"/>
              <w:jc w:val="center"/>
              <w:rPr>
                <w:rFonts w:cstheme="minorHAnsi"/>
                <w:sz w:val="20"/>
                <w:szCs w:val="18"/>
              </w:rPr>
            </w:pPr>
            <w:r w:rsidRPr="00DC0B61">
              <w:rPr>
                <w:rFonts w:cstheme="minorHAnsi"/>
                <w:sz w:val="20"/>
                <w:szCs w:val="18"/>
              </w:rPr>
              <w:t>20%</w:t>
            </w:r>
          </w:p>
        </w:tc>
        <w:tc>
          <w:tcPr>
            <w:tcW w:w="1701" w:type="dxa"/>
            <w:noWrap/>
            <w:hideMark/>
          </w:tcPr>
          <w:p w14:paraId="2B3F96E8" w14:textId="77777777" w:rsidR="00520971" w:rsidRPr="00DC0B61" w:rsidRDefault="00520971" w:rsidP="005E4B3A">
            <w:pPr>
              <w:autoSpaceDE w:val="0"/>
              <w:autoSpaceDN w:val="0"/>
              <w:adjustRightInd w:val="0"/>
              <w:jc w:val="center"/>
              <w:rPr>
                <w:rFonts w:cstheme="minorHAnsi"/>
                <w:sz w:val="20"/>
                <w:szCs w:val="18"/>
              </w:rPr>
            </w:pPr>
            <w:r w:rsidRPr="00DC0B61">
              <w:rPr>
                <w:rFonts w:cstheme="minorHAnsi"/>
                <w:sz w:val="20"/>
                <w:szCs w:val="18"/>
              </w:rPr>
              <w:t>80%</w:t>
            </w:r>
          </w:p>
        </w:tc>
      </w:tr>
      <w:tr w:rsidR="00E14C6A" w:rsidRPr="005E5068" w14:paraId="027FC087" w14:textId="77777777" w:rsidTr="00DC0B61">
        <w:trPr>
          <w:trHeight w:val="124"/>
          <w:jc w:val="center"/>
        </w:trPr>
        <w:tc>
          <w:tcPr>
            <w:tcW w:w="4106" w:type="dxa"/>
            <w:noWrap/>
          </w:tcPr>
          <w:p w14:paraId="555D3FCD" w14:textId="16D74CD8" w:rsidR="00E14C6A" w:rsidRPr="00DC0B61" w:rsidRDefault="00E14C6A" w:rsidP="00E14C6A">
            <w:pPr>
              <w:autoSpaceDE w:val="0"/>
              <w:autoSpaceDN w:val="0"/>
              <w:adjustRightInd w:val="0"/>
              <w:jc w:val="both"/>
              <w:rPr>
                <w:rFonts w:cstheme="minorHAnsi"/>
                <w:sz w:val="20"/>
                <w:szCs w:val="18"/>
              </w:rPr>
            </w:pPr>
            <w:r w:rsidRPr="00DC0B61">
              <w:rPr>
                <w:rFonts w:cstheme="minorHAnsi"/>
                <w:sz w:val="20"/>
                <w:szCs w:val="18"/>
              </w:rPr>
              <w:t>[c] Dotazione per Linea (A/B)</w:t>
            </w:r>
          </w:p>
        </w:tc>
        <w:tc>
          <w:tcPr>
            <w:tcW w:w="2268" w:type="dxa"/>
          </w:tcPr>
          <w:p w14:paraId="75657F0D" w14:textId="46DF3665" w:rsidR="00E14C6A" w:rsidRPr="00DC0B61" w:rsidRDefault="00E14C6A" w:rsidP="00E14C6A">
            <w:pPr>
              <w:autoSpaceDE w:val="0"/>
              <w:autoSpaceDN w:val="0"/>
              <w:adjustRightInd w:val="0"/>
              <w:jc w:val="center"/>
              <w:rPr>
                <w:rFonts w:cstheme="minorHAnsi"/>
                <w:i/>
                <w:iCs/>
                <w:sz w:val="20"/>
                <w:szCs w:val="18"/>
              </w:rPr>
            </w:pPr>
            <w:r w:rsidRPr="00DC0B61">
              <w:rPr>
                <w:rFonts w:cstheme="minorHAnsi"/>
                <w:i/>
                <w:iCs/>
                <w:sz w:val="20"/>
                <w:szCs w:val="18"/>
              </w:rPr>
              <w:t>Valore ipotizzato</w:t>
            </w:r>
          </w:p>
        </w:tc>
        <w:tc>
          <w:tcPr>
            <w:tcW w:w="1559" w:type="dxa"/>
            <w:noWrap/>
          </w:tcPr>
          <w:p w14:paraId="51C7FEEC" w14:textId="58F89D2F" w:rsidR="00E14C6A" w:rsidRPr="00DC0B61" w:rsidRDefault="00E14C6A" w:rsidP="00E14C6A">
            <w:pPr>
              <w:autoSpaceDE w:val="0"/>
              <w:autoSpaceDN w:val="0"/>
              <w:adjustRightInd w:val="0"/>
              <w:jc w:val="center"/>
              <w:rPr>
                <w:rFonts w:cstheme="minorHAnsi"/>
                <w:sz w:val="20"/>
                <w:szCs w:val="18"/>
              </w:rPr>
            </w:pPr>
            <w:bookmarkStart w:id="21" w:name="_Hlk183619135"/>
            <w:r w:rsidRPr="00DC0B61">
              <w:rPr>
                <w:rFonts w:cstheme="minorHAnsi"/>
                <w:sz w:val="20"/>
                <w:szCs w:val="18"/>
              </w:rPr>
              <w:t>1.581.947,46 €</w:t>
            </w:r>
            <w:bookmarkEnd w:id="21"/>
          </w:p>
        </w:tc>
        <w:tc>
          <w:tcPr>
            <w:tcW w:w="1701" w:type="dxa"/>
          </w:tcPr>
          <w:p w14:paraId="008B7E7A" w14:textId="70FBE90E" w:rsidR="00E14C6A" w:rsidRPr="00DC0B61" w:rsidRDefault="00E14C6A" w:rsidP="00E14C6A">
            <w:pPr>
              <w:autoSpaceDE w:val="0"/>
              <w:autoSpaceDN w:val="0"/>
              <w:adjustRightInd w:val="0"/>
              <w:jc w:val="center"/>
              <w:rPr>
                <w:rFonts w:cstheme="minorHAnsi"/>
                <w:sz w:val="20"/>
                <w:szCs w:val="18"/>
              </w:rPr>
            </w:pPr>
            <w:r w:rsidRPr="00DC0B61">
              <w:rPr>
                <w:rFonts w:cstheme="minorHAnsi"/>
                <w:sz w:val="20"/>
                <w:szCs w:val="18"/>
              </w:rPr>
              <w:t>6.327.789,82 €</w:t>
            </w:r>
          </w:p>
        </w:tc>
      </w:tr>
      <w:tr w:rsidR="00520971" w:rsidRPr="005E5068" w14:paraId="588642DE" w14:textId="77777777" w:rsidTr="00DC0B61">
        <w:trPr>
          <w:trHeight w:val="58"/>
          <w:jc w:val="center"/>
        </w:trPr>
        <w:tc>
          <w:tcPr>
            <w:tcW w:w="4106" w:type="dxa"/>
            <w:noWrap/>
            <w:hideMark/>
          </w:tcPr>
          <w:p w14:paraId="5CD02AB1" w14:textId="3C605BEC" w:rsidR="00520971" w:rsidRPr="00DC0B61" w:rsidRDefault="00520971" w:rsidP="00B70A95">
            <w:pPr>
              <w:autoSpaceDE w:val="0"/>
              <w:autoSpaceDN w:val="0"/>
              <w:adjustRightInd w:val="0"/>
              <w:jc w:val="both"/>
              <w:rPr>
                <w:rFonts w:cstheme="minorHAnsi"/>
                <w:sz w:val="20"/>
                <w:szCs w:val="18"/>
              </w:rPr>
            </w:pPr>
            <w:r w:rsidRPr="00DC0B61">
              <w:rPr>
                <w:rFonts w:cstheme="minorHAnsi"/>
                <w:sz w:val="20"/>
                <w:szCs w:val="18"/>
              </w:rPr>
              <w:t>[d] Numero operazioni</w:t>
            </w:r>
          </w:p>
        </w:tc>
        <w:tc>
          <w:tcPr>
            <w:tcW w:w="2268" w:type="dxa"/>
          </w:tcPr>
          <w:p w14:paraId="2BE0BEA1" w14:textId="2E2DB617" w:rsidR="00520971" w:rsidRPr="00DC0B61" w:rsidRDefault="00520971" w:rsidP="00B70A95">
            <w:pPr>
              <w:autoSpaceDE w:val="0"/>
              <w:autoSpaceDN w:val="0"/>
              <w:adjustRightInd w:val="0"/>
              <w:jc w:val="center"/>
              <w:rPr>
                <w:rFonts w:cstheme="minorHAnsi"/>
                <w:sz w:val="20"/>
                <w:szCs w:val="18"/>
              </w:rPr>
            </w:pPr>
            <w:r w:rsidRPr="00DC0B61">
              <w:rPr>
                <w:rFonts w:cstheme="minorHAnsi"/>
                <w:i/>
                <w:iCs/>
                <w:sz w:val="20"/>
                <w:szCs w:val="18"/>
              </w:rPr>
              <w:t>Valore ipotizzato</w:t>
            </w:r>
          </w:p>
        </w:tc>
        <w:tc>
          <w:tcPr>
            <w:tcW w:w="1559" w:type="dxa"/>
            <w:noWrap/>
            <w:hideMark/>
          </w:tcPr>
          <w:p w14:paraId="3902B2C6" w14:textId="37321AAA" w:rsidR="00520971" w:rsidRPr="00DC0B61" w:rsidRDefault="00E14C6A" w:rsidP="00B70A95">
            <w:pPr>
              <w:autoSpaceDE w:val="0"/>
              <w:autoSpaceDN w:val="0"/>
              <w:adjustRightInd w:val="0"/>
              <w:jc w:val="center"/>
              <w:rPr>
                <w:rFonts w:cstheme="minorHAnsi"/>
                <w:sz w:val="20"/>
                <w:szCs w:val="18"/>
              </w:rPr>
            </w:pPr>
            <w:r w:rsidRPr="00DC0B61">
              <w:rPr>
                <w:rFonts w:cstheme="minorHAnsi"/>
                <w:sz w:val="20"/>
                <w:szCs w:val="18"/>
              </w:rPr>
              <w:t>1</w:t>
            </w:r>
            <w:r w:rsidR="00BA52A1" w:rsidRPr="00DC0B61">
              <w:rPr>
                <w:rFonts w:cstheme="minorHAnsi"/>
                <w:sz w:val="20"/>
                <w:szCs w:val="18"/>
              </w:rPr>
              <w:t>6</w:t>
            </w:r>
            <w:r w:rsidRPr="00DC0B61">
              <w:rPr>
                <w:rFonts w:cstheme="minorHAnsi"/>
                <w:sz w:val="20"/>
                <w:szCs w:val="18"/>
              </w:rPr>
              <w:t>3</w:t>
            </w:r>
          </w:p>
        </w:tc>
        <w:tc>
          <w:tcPr>
            <w:tcW w:w="1701" w:type="dxa"/>
            <w:noWrap/>
            <w:hideMark/>
          </w:tcPr>
          <w:p w14:paraId="3791340A" w14:textId="42806750" w:rsidR="00520971" w:rsidRPr="00DC0B61" w:rsidRDefault="00E14C6A" w:rsidP="00B70A95">
            <w:pPr>
              <w:autoSpaceDE w:val="0"/>
              <w:autoSpaceDN w:val="0"/>
              <w:adjustRightInd w:val="0"/>
              <w:jc w:val="center"/>
              <w:rPr>
                <w:rFonts w:cstheme="minorHAnsi"/>
                <w:sz w:val="20"/>
                <w:szCs w:val="18"/>
              </w:rPr>
            </w:pPr>
            <w:r w:rsidRPr="00DC0B61">
              <w:rPr>
                <w:rFonts w:cstheme="minorHAnsi"/>
                <w:sz w:val="20"/>
                <w:szCs w:val="18"/>
              </w:rPr>
              <w:t>783</w:t>
            </w:r>
          </w:p>
        </w:tc>
      </w:tr>
      <w:tr w:rsidR="00E14C6A" w:rsidRPr="005E5068" w14:paraId="0984C00E" w14:textId="77777777" w:rsidTr="00DC0B61">
        <w:trPr>
          <w:trHeight w:val="47"/>
          <w:jc w:val="center"/>
        </w:trPr>
        <w:tc>
          <w:tcPr>
            <w:tcW w:w="4106" w:type="dxa"/>
            <w:noWrap/>
            <w:hideMark/>
          </w:tcPr>
          <w:p w14:paraId="31C01352" w14:textId="67C10E74" w:rsidR="00E14C6A" w:rsidRPr="00DC0B61" w:rsidRDefault="00E14C6A" w:rsidP="00E14C6A">
            <w:pPr>
              <w:autoSpaceDE w:val="0"/>
              <w:autoSpaceDN w:val="0"/>
              <w:adjustRightInd w:val="0"/>
              <w:jc w:val="both"/>
              <w:rPr>
                <w:rFonts w:cstheme="minorHAnsi"/>
                <w:sz w:val="20"/>
                <w:szCs w:val="18"/>
              </w:rPr>
            </w:pPr>
            <w:r w:rsidRPr="00DC0B61">
              <w:rPr>
                <w:rFonts w:cstheme="minorHAnsi"/>
                <w:sz w:val="20"/>
                <w:szCs w:val="18"/>
              </w:rPr>
              <w:t>[e] Patrimonializzazione</w:t>
            </w:r>
          </w:p>
        </w:tc>
        <w:tc>
          <w:tcPr>
            <w:tcW w:w="2268" w:type="dxa"/>
          </w:tcPr>
          <w:p w14:paraId="152BD607" w14:textId="24190FC7" w:rsidR="00E14C6A" w:rsidRPr="00DC0B61" w:rsidRDefault="00E14C6A" w:rsidP="00E14C6A">
            <w:pPr>
              <w:autoSpaceDE w:val="0"/>
              <w:autoSpaceDN w:val="0"/>
              <w:adjustRightInd w:val="0"/>
              <w:jc w:val="center"/>
              <w:rPr>
                <w:rFonts w:cstheme="minorHAnsi"/>
                <w:sz w:val="20"/>
                <w:szCs w:val="18"/>
              </w:rPr>
            </w:pPr>
            <w:r w:rsidRPr="00DC0B61">
              <w:rPr>
                <w:rFonts w:cstheme="minorHAnsi"/>
                <w:sz w:val="20"/>
                <w:szCs w:val="18"/>
              </w:rPr>
              <w:t>[d]*aumento capitale</w:t>
            </w:r>
          </w:p>
        </w:tc>
        <w:tc>
          <w:tcPr>
            <w:tcW w:w="1559" w:type="dxa"/>
            <w:noWrap/>
            <w:hideMark/>
          </w:tcPr>
          <w:p w14:paraId="30B1EE02" w14:textId="1835C5AD" w:rsidR="00E14C6A" w:rsidRPr="00DC0B61" w:rsidRDefault="00E14C6A" w:rsidP="00E14C6A">
            <w:pPr>
              <w:autoSpaceDE w:val="0"/>
              <w:autoSpaceDN w:val="0"/>
              <w:adjustRightInd w:val="0"/>
              <w:jc w:val="center"/>
              <w:rPr>
                <w:rFonts w:cstheme="minorHAnsi"/>
                <w:sz w:val="20"/>
                <w:szCs w:val="18"/>
              </w:rPr>
            </w:pPr>
            <w:bookmarkStart w:id="22" w:name="_Hlk183619215"/>
            <w:r w:rsidRPr="00DC0B61">
              <w:rPr>
                <w:rFonts w:cstheme="minorHAnsi"/>
                <w:sz w:val="20"/>
                <w:szCs w:val="18"/>
              </w:rPr>
              <w:t>4.</w:t>
            </w:r>
            <w:r w:rsidR="00BA52A1" w:rsidRPr="00DC0B61">
              <w:rPr>
                <w:rFonts w:cstheme="minorHAnsi"/>
                <w:sz w:val="20"/>
                <w:szCs w:val="18"/>
              </w:rPr>
              <w:t>075</w:t>
            </w:r>
            <w:r w:rsidRPr="00DC0B61">
              <w:rPr>
                <w:rFonts w:cstheme="minorHAnsi"/>
                <w:sz w:val="20"/>
                <w:szCs w:val="18"/>
              </w:rPr>
              <w:t>.000,00 €</w:t>
            </w:r>
            <w:bookmarkEnd w:id="22"/>
          </w:p>
        </w:tc>
        <w:tc>
          <w:tcPr>
            <w:tcW w:w="1701" w:type="dxa"/>
            <w:noWrap/>
            <w:hideMark/>
          </w:tcPr>
          <w:p w14:paraId="35048590" w14:textId="5E8FF484" w:rsidR="00E14C6A" w:rsidRPr="00DC0B61" w:rsidRDefault="00E14C6A" w:rsidP="00E14C6A">
            <w:pPr>
              <w:autoSpaceDE w:val="0"/>
              <w:autoSpaceDN w:val="0"/>
              <w:adjustRightInd w:val="0"/>
              <w:jc w:val="center"/>
              <w:rPr>
                <w:rFonts w:cstheme="minorHAnsi"/>
                <w:sz w:val="20"/>
                <w:szCs w:val="18"/>
              </w:rPr>
            </w:pPr>
            <w:r w:rsidRPr="00DC0B61">
              <w:rPr>
                <w:rFonts w:cstheme="minorHAnsi"/>
                <w:sz w:val="20"/>
                <w:szCs w:val="18"/>
              </w:rPr>
              <w:t>23.490.000,00 €</w:t>
            </w:r>
          </w:p>
        </w:tc>
      </w:tr>
      <w:tr w:rsidR="00E14C6A" w:rsidRPr="005E5068" w14:paraId="3E8726F7" w14:textId="77777777" w:rsidTr="00DC0B61">
        <w:trPr>
          <w:trHeight w:val="58"/>
          <w:jc w:val="center"/>
        </w:trPr>
        <w:tc>
          <w:tcPr>
            <w:tcW w:w="4106" w:type="dxa"/>
            <w:noWrap/>
            <w:hideMark/>
          </w:tcPr>
          <w:p w14:paraId="44C88B4A" w14:textId="644C7FA9" w:rsidR="00E14C6A" w:rsidRPr="00DC0B61" w:rsidRDefault="00E14C6A" w:rsidP="00E14C6A">
            <w:pPr>
              <w:autoSpaceDE w:val="0"/>
              <w:autoSpaceDN w:val="0"/>
              <w:adjustRightInd w:val="0"/>
              <w:jc w:val="both"/>
              <w:rPr>
                <w:rFonts w:cstheme="minorHAnsi"/>
                <w:sz w:val="20"/>
                <w:szCs w:val="18"/>
              </w:rPr>
            </w:pPr>
            <w:r w:rsidRPr="00DC0B61">
              <w:rPr>
                <w:rFonts w:cstheme="minorHAnsi"/>
                <w:sz w:val="20"/>
                <w:szCs w:val="18"/>
              </w:rPr>
              <w:t>[f] Finanziamenti</w:t>
            </w:r>
          </w:p>
        </w:tc>
        <w:tc>
          <w:tcPr>
            <w:tcW w:w="2268" w:type="dxa"/>
          </w:tcPr>
          <w:p w14:paraId="22BB578C" w14:textId="195D3400" w:rsidR="00E14C6A" w:rsidRPr="00DC0B61" w:rsidRDefault="00E14C6A" w:rsidP="00E14C6A">
            <w:pPr>
              <w:autoSpaceDE w:val="0"/>
              <w:autoSpaceDN w:val="0"/>
              <w:adjustRightInd w:val="0"/>
              <w:jc w:val="center"/>
              <w:rPr>
                <w:rFonts w:cstheme="minorHAnsi"/>
                <w:sz w:val="20"/>
                <w:szCs w:val="18"/>
              </w:rPr>
            </w:pPr>
            <w:r w:rsidRPr="00DC0B61">
              <w:rPr>
                <w:rFonts w:cstheme="minorHAnsi"/>
                <w:sz w:val="20"/>
                <w:szCs w:val="18"/>
              </w:rPr>
              <w:t>[d]*finanziamento</w:t>
            </w:r>
          </w:p>
        </w:tc>
        <w:tc>
          <w:tcPr>
            <w:tcW w:w="1559" w:type="dxa"/>
            <w:noWrap/>
            <w:hideMark/>
          </w:tcPr>
          <w:p w14:paraId="5C94642E" w14:textId="33A4828F" w:rsidR="00E14C6A" w:rsidRPr="00DC0B61" w:rsidRDefault="00BA52A1" w:rsidP="00E14C6A">
            <w:pPr>
              <w:autoSpaceDE w:val="0"/>
              <w:autoSpaceDN w:val="0"/>
              <w:adjustRightInd w:val="0"/>
              <w:jc w:val="center"/>
              <w:rPr>
                <w:rFonts w:cstheme="minorHAnsi"/>
                <w:sz w:val="20"/>
                <w:szCs w:val="18"/>
              </w:rPr>
            </w:pPr>
            <w:bookmarkStart w:id="23" w:name="_Hlk183619237"/>
            <w:r w:rsidRPr="00DC0B61">
              <w:rPr>
                <w:rFonts w:cstheme="minorHAnsi"/>
                <w:sz w:val="20"/>
                <w:szCs w:val="18"/>
              </w:rPr>
              <w:t>2.139.375</w:t>
            </w:r>
            <w:r w:rsidR="00E14C6A" w:rsidRPr="00DC0B61">
              <w:rPr>
                <w:rFonts w:cstheme="minorHAnsi"/>
                <w:sz w:val="20"/>
                <w:szCs w:val="18"/>
              </w:rPr>
              <w:t>,00 €</w:t>
            </w:r>
            <w:bookmarkEnd w:id="23"/>
          </w:p>
        </w:tc>
        <w:tc>
          <w:tcPr>
            <w:tcW w:w="1701" w:type="dxa"/>
            <w:noWrap/>
            <w:hideMark/>
          </w:tcPr>
          <w:p w14:paraId="43D431CC" w14:textId="60FDC9D8" w:rsidR="00E14C6A" w:rsidRPr="00DC0B61" w:rsidRDefault="00E14C6A" w:rsidP="00E14C6A">
            <w:pPr>
              <w:autoSpaceDE w:val="0"/>
              <w:autoSpaceDN w:val="0"/>
              <w:adjustRightInd w:val="0"/>
              <w:jc w:val="center"/>
              <w:rPr>
                <w:rFonts w:cstheme="minorHAnsi"/>
                <w:sz w:val="20"/>
                <w:szCs w:val="18"/>
              </w:rPr>
            </w:pPr>
            <w:r w:rsidRPr="00DC0B61">
              <w:rPr>
                <w:rFonts w:cstheme="minorHAnsi"/>
                <w:sz w:val="20"/>
                <w:szCs w:val="18"/>
              </w:rPr>
              <w:t>9.396.000,00 €</w:t>
            </w:r>
          </w:p>
        </w:tc>
      </w:tr>
      <w:tr w:rsidR="00520971" w:rsidRPr="000C6BCD" w14:paraId="700CFFAE" w14:textId="77777777" w:rsidTr="00DC0B61">
        <w:trPr>
          <w:trHeight w:val="58"/>
          <w:jc w:val="center"/>
        </w:trPr>
        <w:tc>
          <w:tcPr>
            <w:tcW w:w="4106" w:type="dxa"/>
            <w:shd w:val="clear" w:color="auto" w:fill="B4C6E7" w:themeFill="accent1" w:themeFillTint="66"/>
            <w:noWrap/>
            <w:hideMark/>
          </w:tcPr>
          <w:p w14:paraId="61EEB2FC" w14:textId="75B4F2DF" w:rsidR="00520971" w:rsidRPr="00DC0B61" w:rsidRDefault="00520971" w:rsidP="00F4624A">
            <w:pPr>
              <w:autoSpaceDE w:val="0"/>
              <w:autoSpaceDN w:val="0"/>
              <w:adjustRightInd w:val="0"/>
              <w:jc w:val="both"/>
              <w:rPr>
                <w:rFonts w:cstheme="minorHAnsi"/>
                <w:b/>
                <w:bCs/>
                <w:sz w:val="20"/>
                <w:szCs w:val="18"/>
              </w:rPr>
            </w:pPr>
            <w:r w:rsidRPr="00DC0B61">
              <w:rPr>
                <w:rFonts w:cstheme="minorHAnsi"/>
                <w:b/>
                <w:bCs/>
                <w:sz w:val="20"/>
                <w:szCs w:val="18"/>
              </w:rPr>
              <w:t>[g] Leva finanziaria</w:t>
            </w:r>
          </w:p>
        </w:tc>
        <w:tc>
          <w:tcPr>
            <w:tcW w:w="2268" w:type="dxa"/>
            <w:shd w:val="clear" w:color="auto" w:fill="B4C6E7" w:themeFill="accent1" w:themeFillTint="66"/>
          </w:tcPr>
          <w:p w14:paraId="7619FBC7" w14:textId="2D5EA158" w:rsidR="00520971" w:rsidRPr="00DC0B61" w:rsidRDefault="00CA4E4B" w:rsidP="005E4B3A">
            <w:pPr>
              <w:autoSpaceDE w:val="0"/>
              <w:autoSpaceDN w:val="0"/>
              <w:adjustRightInd w:val="0"/>
              <w:jc w:val="center"/>
              <w:rPr>
                <w:rFonts w:cstheme="minorHAnsi"/>
                <w:b/>
                <w:bCs/>
                <w:sz w:val="20"/>
                <w:szCs w:val="18"/>
              </w:rPr>
            </w:pPr>
            <w:r w:rsidRPr="00DC0B61">
              <w:rPr>
                <w:rFonts w:cstheme="minorHAnsi"/>
                <w:b/>
                <w:bCs/>
                <w:sz w:val="20"/>
                <w:szCs w:val="18"/>
              </w:rPr>
              <w:t>[f] Linea A+B/[a]</w:t>
            </w:r>
          </w:p>
        </w:tc>
        <w:tc>
          <w:tcPr>
            <w:tcW w:w="3260" w:type="dxa"/>
            <w:gridSpan w:val="2"/>
            <w:shd w:val="clear" w:color="auto" w:fill="B4C6E7" w:themeFill="accent1" w:themeFillTint="66"/>
            <w:noWrap/>
            <w:hideMark/>
          </w:tcPr>
          <w:p w14:paraId="1D5564E9" w14:textId="57D0BEC8" w:rsidR="00520971" w:rsidRPr="00DC0B61" w:rsidRDefault="00520971" w:rsidP="005E4B3A">
            <w:pPr>
              <w:autoSpaceDE w:val="0"/>
              <w:autoSpaceDN w:val="0"/>
              <w:adjustRightInd w:val="0"/>
              <w:jc w:val="center"/>
              <w:rPr>
                <w:rFonts w:cstheme="minorHAnsi"/>
                <w:b/>
                <w:bCs/>
                <w:sz w:val="20"/>
                <w:szCs w:val="18"/>
              </w:rPr>
            </w:pPr>
            <w:r w:rsidRPr="00DC0B61">
              <w:rPr>
                <w:rFonts w:cstheme="minorHAnsi"/>
                <w:b/>
                <w:bCs/>
                <w:sz w:val="20"/>
                <w:szCs w:val="18"/>
              </w:rPr>
              <w:t>1,</w:t>
            </w:r>
            <w:r w:rsidR="00BA52A1" w:rsidRPr="00DC0B61">
              <w:rPr>
                <w:rFonts w:cstheme="minorHAnsi"/>
                <w:b/>
                <w:bCs/>
                <w:sz w:val="20"/>
                <w:szCs w:val="18"/>
              </w:rPr>
              <w:t>45</w:t>
            </w:r>
          </w:p>
        </w:tc>
      </w:tr>
    </w:tbl>
    <w:p w14:paraId="3DB9A987" w14:textId="61D56FA4" w:rsidR="004C16F8" w:rsidRPr="00E14C6A" w:rsidRDefault="00E14C6A" w:rsidP="004C16F8">
      <w:pPr>
        <w:autoSpaceDE w:val="0"/>
        <w:autoSpaceDN w:val="0"/>
        <w:adjustRightInd w:val="0"/>
        <w:spacing w:after="0" w:line="276" w:lineRule="auto"/>
        <w:jc w:val="both"/>
        <w:rPr>
          <w:rFonts w:cstheme="minorHAnsi"/>
          <w:sz w:val="18"/>
        </w:rPr>
      </w:pPr>
      <w:r w:rsidRPr="00E14C6A">
        <w:rPr>
          <w:rFonts w:cstheme="minorHAnsi"/>
          <w:sz w:val="18"/>
        </w:rPr>
        <w:t>* al netto delle commissioni di gestione</w:t>
      </w:r>
    </w:p>
    <w:p w14:paraId="061AEF0C" w14:textId="6C346CB9" w:rsidR="00654F3B" w:rsidRPr="00E25BC2" w:rsidRDefault="0059444C" w:rsidP="001E631D">
      <w:pPr>
        <w:pStyle w:val="Corpotesto"/>
        <w:spacing w:before="120" w:after="120" w:line="276" w:lineRule="auto"/>
        <w:ind w:right="113"/>
        <w:jc w:val="both"/>
        <w:rPr>
          <w:rFonts w:asciiTheme="minorHAnsi" w:hAnsiTheme="minorHAnsi" w:cstheme="minorHAnsi"/>
          <w:color w:val="151515"/>
          <w:sz w:val="22"/>
          <w:szCs w:val="22"/>
          <w:highlight w:val="yellow"/>
        </w:rPr>
      </w:pPr>
      <w:r>
        <w:rPr>
          <w:rFonts w:asciiTheme="minorHAnsi" w:hAnsiTheme="minorHAnsi" w:cstheme="minorHAnsi"/>
          <w:color w:val="151515"/>
          <w:sz w:val="22"/>
          <w:szCs w:val="22"/>
        </w:rPr>
        <w:t xml:space="preserve">I valori sopra esposti sono </w:t>
      </w:r>
      <w:r w:rsidRPr="000341F0">
        <w:rPr>
          <w:rFonts w:asciiTheme="minorHAnsi" w:hAnsiTheme="minorHAnsi" w:cstheme="minorHAnsi"/>
          <w:color w:val="151515"/>
          <w:sz w:val="22"/>
          <w:szCs w:val="22"/>
        </w:rPr>
        <w:t>da considerarsi come unicamente indicativi, in quanto è opportuno che la</w:t>
      </w:r>
      <w:r>
        <w:rPr>
          <w:rFonts w:asciiTheme="minorHAnsi" w:hAnsiTheme="minorHAnsi" w:cstheme="minorHAnsi"/>
          <w:color w:val="151515"/>
          <w:sz w:val="22"/>
          <w:szCs w:val="22"/>
        </w:rPr>
        <w:t xml:space="preserve"> </w:t>
      </w:r>
      <w:r w:rsidRPr="000341F0">
        <w:rPr>
          <w:rFonts w:asciiTheme="minorHAnsi" w:hAnsiTheme="minorHAnsi" w:cstheme="minorHAnsi"/>
          <w:color w:val="151515"/>
          <w:sz w:val="22"/>
          <w:szCs w:val="22"/>
        </w:rPr>
        <w:t>contribuzione delle risorse pubbliche sia calibrata in funzione delle effettive condizioni di mercato</w:t>
      </w:r>
      <w:r>
        <w:rPr>
          <w:rFonts w:asciiTheme="minorHAnsi" w:hAnsiTheme="minorHAnsi" w:cstheme="minorHAnsi"/>
          <w:color w:val="151515"/>
          <w:sz w:val="22"/>
          <w:szCs w:val="22"/>
        </w:rPr>
        <w:t xml:space="preserve"> </w:t>
      </w:r>
      <w:r w:rsidRPr="000341F0">
        <w:rPr>
          <w:rFonts w:asciiTheme="minorHAnsi" w:hAnsiTheme="minorHAnsi" w:cstheme="minorHAnsi"/>
          <w:color w:val="151515"/>
          <w:sz w:val="22"/>
          <w:szCs w:val="22"/>
        </w:rPr>
        <w:t>prevalenti al momento dell’attivazione degli strumenti, nonché degli effettivi dispositivi di attuazione</w:t>
      </w:r>
      <w:r>
        <w:rPr>
          <w:rFonts w:asciiTheme="minorHAnsi" w:hAnsiTheme="minorHAnsi" w:cstheme="minorHAnsi"/>
          <w:color w:val="151515"/>
          <w:sz w:val="22"/>
          <w:szCs w:val="22"/>
        </w:rPr>
        <w:t xml:space="preserve"> </w:t>
      </w:r>
      <w:r w:rsidRPr="000341F0">
        <w:rPr>
          <w:rFonts w:asciiTheme="minorHAnsi" w:hAnsiTheme="minorHAnsi" w:cstheme="minorHAnsi"/>
          <w:color w:val="151515"/>
          <w:sz w:val="22"/>
          <w:szCs w:val="22"/>
        </w:rPr>
        <w:t>che in tale momento siano ritenuti più efficaci ai fini del raggiungimento degli obiettivi di policy</w:t>
      </w:r>
      <w:r>
        <w:rPr>
          <w:rFonts w:asciiTheme="minorHAnsi" w:hAnsiTheme="minorHAnsi" w:cstheme="minorHAnsi"/>
          <w:color w:val="151515"/>
          <w:sz w:val="22"/>
          <w:szCs w:val="22"/>
        </w:rPr>
        <w:t>.</w:t>
      </w:r>
    </w:p>
    <w:sectPr w:rsidR="00654F3B" w:rsidRPr="00E25BC2" w:rsidSect="005E0343">
      <w:headerReference w:type="default" r:id="rId14"/>
      <w:footerReference w:type="even" r:id="rId15"/>
      <w:footerReference w:type="default" r:id="rId16"/>
      <w:pgSz w:w="11906" w:h="16838"/>
      <w:pgMar w:top="1417"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3AC5E" w14:textId="77777777" w:rsidR="003F2978" w:rsidRPr="00063D2B" w:rsidRDefault="003F2978" w:rsidP="00AB7D2D">
      <w:pPr>
        <w:spacing w:after="0" w:line="240" w:lineRule="auto"/>
      </w:pPr>
      <w:r w:rsidRPr="00063D2B">
        <w:separator/>
      </w:r>
    </w:p>
  </w:endnote>
  <w:endnote w:type="continuationSeparator" w:id="0">
    <w:p w14:paraId="1D48E859" w14:textId="77777777" w:rsidR="003F2978" w:rsidRPr="00063D2B" w:rsidRDefault="003F2978" w:rsidP="00AB7D2D">
      <w:pPr>
        <w:spacing w:after="0" w:line="240" w:lineRule="auto"/>
      </w:pPr>
      <w:r w:rsidRPr="00063D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42869550"/>
      <w:docPartObj>
        <w:docPartGallery w:val="Page Numbers (Bottom of Page)"/>
        <w:docPartUnique/>
      </w:docPartObj>
    </w:sdtPr>
    <w:sdtEndPr>
      <w:rPr>
        <w:rStyle w:val="Numeropagina"/>
      </w:rPr>
    </w:sdtEndPr>
    <w:sdtContent>
      <w:p w14:paraId="557AEA1A" w14:textId="77777777" w:rsidR="003F2978" w:rsidRPr="00063D2B" w:rsidRDefault="003F2978" w:rsidP="00703165">
        <w:pPr>
          <w:pStyle w:val="Pidipagina"/>
          <w:framePr w:wrap="none" w:vAnchor="text" w:hAnchor="margin" w:y="1"/>
          <w:rPr>
            <w:rStyle w:val="Numeropagina"/>
          </w:rPr>
        </w:pPr>
        <w:r w:rsidRPr="00063D2B">
          <w:rPr>
            <w:rStyle w:val="Numeropagina"/>
          </w:rPr>
          <w:fldChar w:fldCharType="begin"/>
        </w:r>
        <w:r w:rsidRPr="00063D2B">
          <w:rPr>
            <w:rStyle w:val="Numeropagina"/>
          </w:rPr>
          <w:instrText xml:space="preserve"> PAGE </w:instrText>
        </w:r>
        <w:r w:rsidRPr="00063D2B">
          <w:rPr>
            <w:rStyle w:val="Numeropagina"/>
          </w:rPr>
          <w:fldChar w:fldCharType="end"/>
        </w:r>
      </w:p>
    </w:sdtContent>
  </w:sdt>
  <w:p w14:paraId="6773CACC" w14:textId="77777777" w:rsidR="003F2978" w:rsidRPr="00063D2B" w:rsidRDefault="003F2978" w:rsidP="002E33C3">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372490"/>
      <w:docPartObj>
        <w:docPartGallery w:val="Page Numbers (Bottom of Page)"/>
        <w:docPartUnique/>
      </w:docPartObj>
    </w:sdtPr>
    <w:sdtEndPr/>
    <w:sdtContent>
      <w:p w14:paraId="716AC2D0" w14:textId="22653BD1" w:rsidR="003F2978" w:rsidRPr="00063D2B" w:rsidRDefault="003F2978">
        <w:pPr>
          <w:pStyle w:val="Pidipagina"/>
          <w:jc w:val="right"/>
        </w:pPr>
        <w:r w:rsidRPr="00063D2B">
          <w:fldChar w:fldCharType="begin"/>
        </w:r>
        <w:r w:rsidRPr="00063D2B">
          <w:instrText>PAGE   \* MERGEFORMAT</w:instrText>
        </w:r>
        <w:r w:rsidRPr="00063D2B">
          <w:fldChar w:fldCharType="separate"/>
        </w:r>
        <w:r w:rsidRPr="00063D2B">
          <w:t>2</w:t>
        </w:r>
        <w:r w:rsidRPr="00063D2B">
          <w:fldChar w:fldCharType="end"/>
        </w:r>
      </w:p>
    </w:sdtContent>
  </w:sdt>
  <w:p w14:paraId="5AB32AAA" w14:textId="77777777" w:rsidR="003F2978" w:rsidRPr="00063D2B" w:rsidRDefault="003F29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A256E" w14:textId="77777777" w:rsidR="003F2978" w:rsidRPr="00063D2B" w:rsidRDefault="003F2978" w:rsidP="00AB7D2D">
      <w:pPr>
        <w:spacing w:after="0" w:line="240" w:lineRule="auto"/>
      </w:pPr>
      <w:r w:rsidRPr="00063D2B">
        <w:separator/>
      </w:r>
    </w:p>
  </w:footnote>
  <w:footnote w:type="continuationSeparator" w:id="0">
    <w:p w14:paraId="56959B43" w14:textId="77777777" w:rsidR="003F2978" w:rsidRPr="00063D2B" w:rsidRDefault="003F2978" w:rsidP="00AB7D2D">
      <w:pPr>
        <w:spacing w:after="0" w:line="240" w:lineRule="auto"/>
      </w:pPr>
      <w:r w:rsidRPr="00063D2B">
        <w:continuationSeparator/>
      </w:r>
    </w:p>
  </w:footnote>
  <w:footnote w:id="1">
    <w:p w14:paraId="6C8A6E88" w14:textId="77777777" w:rsidR="003F2978" w:rsidRPr="00063D2B" w:rsidRDefault="003F2978" w:rsidP="00684768">
      <w:pPr>
        <w:pStyle w:val="Testonotaapidipagina"/>
        <w:rPr>
          <w:sz w:val="18"/>
          <w:szCs w:val="18"/>
        </w:rPr>
      </w:pPr>
      <w:r w:rsidRPr="00063D2B">
        <w:rPr>
          <w:rStyle w:val="Rimandonotaapidipagina"/>
        </w:rPr>
        <w:footnoteRef/>
      </w:r>
      <w:r w:rsidRPr="00063D2B">
        <w:t xml:space="preserve"> </w:t>
      </w:r>
      <w:r w:rsidRPr="00063D2B">
        <w:rPr>
          <w:sz w:val="18"/>
          <w:szCs w:val="18"/>
        </w:rPr>
        <w:t>Banca d’Italia, Economie regionali, La domanda e l'offerta di credito a livello territoriale, luglio 2024</w:t>
      </w:r>
    </w:p>
  </w:footnote>
  <w:footnote w:id="2">
    <w:p w14:paraId="768FDF90" w14:textId="3AC94577" w:rsidR="003F2978" w:rsidRPr="007E3D22" w:rsidRDefault="003F2978" w:rsidP="007E3D22">
      <w:pPr>
        <w:pStyle w:val="Testonotaapidipagina"/>
        <w:jc w:val="both"/>
        <w:rPr>
          <w:sz w:val="18"/>
          <w:szCs w:val="18"/>
        </w:rPr>
      </w:pPr>
      <w:r>
        <w:rPr>
          <w:rStyle w:val="Rimandonotaapidipagina"/>
        </w:rPr>
        <w:footnoteRef/>
      </w:r>
      <w:r>
        <w:t xml:space="preserve"> </w:t>
      </w:r>
      <w:r w:rsidRPr="007E3D22">
        <w:rPr>
          <w:sz w:val="18"/>
          <w:szCs w:val="18"/>
        </w:rPr>
        <w:t>ITER è un indicatore della dinamica trimestrale dell’attività economica territoriale sviluppato dalla Banca d’Italia</w:t>
      </w:r>
    </w:p>
  </w:footnote>
  <w:footnote w:id="3">
    <w:p w14:paraId="3B76D326" w14:textId="744E4CF6" w:rsidR="003F2978" w:rsidRPr="007E3D22" w:rsidRDefault="003F2978" w:rsidP="007E3D22">
      <w:pPr>
        <w:pStyle w:val="Testonotaapidipagina"/>
        <w:jc w:val="both"/>
        <w:rPr>
          <w:sz w:val="18"/>
          <w:szCs w:val="18"/>
        </w:rPr>
      </w:pPr>
      <w:r>
        <w:rPr>
          <w:rStyle w:val="Rimandonotaapidipagina"/>
        </w:rPr>
        <w:footnoteRef/>
      </w:r>
      <w:r>
        <w:t xml:space="preserve"> </w:t>
      </w:r>
      <w:r w:rsidRPr="007E3D22">
        <w:rPr>
          <w:sz w:val="18"/>
          <w:szCs w:val="18"/>
        </w:rPr>
        <w:t>Regio-</w:t>
      </w:r>
      <w:r w:rsidRPr="007E3D22">
        <w:rPr>
          <w:sz w:val="18"/>
          <w:szCs w:val="18"/>
        </w:rPr>
        <w:t>coin è un indicatore sviluppato dalla Banca d’Italia per stimare l’andamento delle componenti di fondo dell’economia regionale.</w:t>
      </w:r>
    </w:p>
  </w:footnote>
  <w:footnote w:id="4">
    <w:p w14:paraId="15BF4D7F" w14:textId="77777777" w:rsidR="003F2978" w:rsidRDefault="003F2978" w:rsidP="00684768">
      <w:pPr>
        <w:pStyle w:val="Testonotaapidipagina"/>
      </w:pPr>
      <w:r w:rsidRPr="00063D2B">
        <w:rPr>
          <w:rStyle w:val="Rimandonotaapidipagina"/>
        </w:rPr>
        <w:footnoteRef/>
      </w:r>
      <w:r w:rsidRPr="00063D2B">
        <w:t xml:space="preserve"> </w:t>
      </w:r>
      <w:hyperlink r:id="rId1" w:history="1">
        <w:r w:rsidRPr="00063D2B">
          <w:rPr>
            <w:rStyle w:val="Collegamentoipertestuale"/>
            <w:sz w:val="18"/>
            <w:szCs w:val="18"/>
          </w:rPr>
          <w:t>https://www.mimit.gov.it/it/transizione40</w:t>
        </w:r>
      </w:hyperlink>
      <w:r w:rsidRPr="00063D2B">
        <w:rPr>
          <w:sz w:val="18"/>
          <w:szCs w:val="18"/>
        </w:rPr>
        <w:t xml:space="preserve"> </w:t>
      </w:r>
    </w:p>
  </w:footnote>
  <w:footnote w:id="5">
    <w:p w14:paraId="12D3E668" w14:textId="79B44050" w:rsidR="003F2978" w:rsidRPr="003B1ABC" w:rsidRDefault="003F2978" w:rsidP="00D749B2">
      <w:pPr>
        <w:pStyle w:val="Testonotaapidipagina"/>
        <w:jc w:val="both"/>
        <w:rPr>
          <w:sz w:val="18"/>
          <w:szCs w:val="18"/>
        </w:rPr>
      </w:pPr>
      <w:r>
        <w:rPr>
          <w:rStyle w:val="Rimandonotaapidipagina"/>
        </w:rPr>
        <w:footnoteRef/>
      </w:r>
      <w:r>
        <w:t xml:space="preserve"> </w:t>
      </w:r>
      <w:r w:rsidRPr="003B1ABC">
        <w:rPr>
          <w:sz w:val="18"/>
          <w:szCs w:val="18"/>
        </w:rPr>
        <w:t>ISTAT, Censimento permanente delle imprese 2023: primi risultati, 14 novembre 2023</w:t>
      </w:r>
    </w:p>
  </w:footnote>
  <w:footnote w:id="6">
    <w:p w14:paraId="3C9705BF" w14:textId="2F2D5D82" w:rsidR="003F2978" w:rsidRDefault="003F2978" w:rsidP="00D749B2">
      <w:pPr>
        <w:pStyle w:val="Testonotaapidipagina"/>
        <w:jc w:val="both"/>
      </w:pPr>
      <w:r>
        <w:rPr>
          <w:rStyle w:val="Rimandonotaapidipagina"/>
        </w:rPr>
        <w:footnoteRef/>
      </w:r>
      <w:r>
        <w:t xml:space="preserve"> </w:t>
      </w:r>
      <w:r w:rsidRPr="00D749B2">
        <w:rPr>
          <w:sz w:val="18"/>
          <w:szCs w:val="18"/>
        </w:rPr>
        <w:t>Leasing: contratto di locazione di immobili, veicoli, impianti, macchinari o attrezzature industriali, con facoltà di riscatto del bene locato a fronte del pagamento di una cifra stabilita alla stipula</w:t>
      </w:r>
    </w:p>
  </w:footnote>
  <w:footnote w:id="7">
    <w:p w14:paraId="118B2A3B" w14:textId="0B68DCE1" w:rsidR="003F2978" w:rsidRPr="00D749B2" w:rsidRDefault="003F2978" w:rsidP="00D749B2">
      <w:pPr>
        <w:pStyle w:val="Testonotaapidipagina"/>
        <w:jc w:val="both"/>
        <w:rPr>
          <w:sz w:val="18"/>
          <w:szCs w:val="18"/>
        </w:rPr>
      </w:pPr>
      <w:r>
        <w:rPr>
          <w:rStyle w:val="Rimandonotaapidipagina"/>
        </w:rPr>
        <w:footnoteRef/>
      </w:r>
      <w:r>
        <w:t xml:space="preserve"> </w:t>
      </w:r>
      <w:r w:rsidRPr="00D749B2">
        <w:rPr>
          <w:sz w:val="18"/>
          <w:szCs w:val="18"/>
        </w:rPr>
        <w:t>Factoring: trasferimento dei crediti commerciali a un'impresa specializzata che provvede alla loro gestione - assumendosi il rischio di eventuali insolvenze dei debitori - e alla loro anticipazione</w:t>
      </w:r>
    </w:p>
  </w:footnote>
  <w:footnote w:id="8">
    <w:p w14:paraId="30299010" w14:textId="739B7FD8" w:rsidR="003F2978" w:rsidRDefault="003F2978" w:rsidP="00D749B2">
      <w:pPr>
        <w:pStyle w:val="Testonotaapidipagina"/>
        <w:jc w:val="both"/>
      </w:pPr>
      <w:r>
        <w:rPr>
          <w:rStyle w:val="Rimandonotaapidipagina"/>
        </w:rPr>
        <w:footnoteRef/>
      </w:r>
      <w:r>
        <w:t xml:space="preserve"> </w:t>
      </w:r>
      <w:r w:rsidRPr="00D749B2">
        <w:rPr>
          <w:sz w:val="18"/>
          <w:szCs w:val="18"/>
        </w:rPr>
        <w:t>Equity (mezzi propri): vendita di azioni o quote dell’impresa</w:t>
      </w:r>
    </w:p>
  </w:footnote>
  <w:footnote w:id="9">
    <w:p w14:paraId="1918A367" w14:textId="1DA6E1AE" w:rsidR="003F2978" w:rsidRDefault="003F2978">
      <w:pPr>
        <w:pStyle w:val="Testonotaapidipagina"/>
      </w:pPr>
      <w:r>
        <w:rPr>
          <w:rStyle w:val="Rimandonotaapidipagina"/>
        </w:rPr>
        <w:footnoteRef/>
      </w:r>
      <w:r>
        <w:t xml:space="preserve"> </w:t>
      </w:r>
      <w:hyperlink r:id="rId2" w:history="1">
        <w:r w:rsidRPr="00F237EE">
          <w:rPr>
            <w:rStyle w:val="Collegamentoipertestuale"/>
            <w:sz w:val="18"/>
            <w:szCs w:val="18"/>
          </w:rPr>
          <w:t>https://www.regione.marche.it/Entra-in-Regione/Bandi-e-opportunita/Bandi-scaduti?idb=5251</w:t>
        </w:r>
      </w:hyperlink>
      <w:r w:rsidRPr="00F237EE">
        <w:rPr>
          <w:sz w:val="18"/>
          <w:szCs w:val="18"/>
        </w:rPr>
        <w:t xml:space="preserve"> </w:t>
      </w:r>
    </w:p>
  </w:footnote>
  <w:footnote w:id="10">
    <w:p w14:paraId="2C7CE8BF" w14:textId="30881521" w:rsidR="003F2978" w:rsidRPr="00587AA9" w:rsidRDefault="003F2978">
      <w:pPr>
        <w:pStyle w:val="Testonotaapidipagina"/>
        <w:rPr>
          <w:sz w:val="18"/>
          <w:szCs w:val="18"/>
        </w:rPr>
      </w:pPr>
      <w:r>
        <w:rPr>
          <w:rStyle w:val="Rimandonotaapidipagina"/>
        </w:rPr>
        <w:footnoteRef/>
      </w:r>
      <w:r>
        <w:t xml:space="preserve"> </w:t>
      </w:r>
      <w:r w:rsidRPr="00587AA9">
        <w:rPr>
          <w:sz w:val="18"/>
          <w:szCs w:val="18"/>
        </w:rPr>
        <w:t xml:space="preserve">Comunicazione del 19 marzo 2020 (2020/C 91 I/01) e </w:t>
      </w:r>
      <w:r w:rsidRPr="00587AA9">
        <w:rPr>
          <w:sz w:val="18"/>
          <w:szCs w:val="18"/>
        </w:rPr>
        <w:t>ss.mm.ii</w:t>
      </w:r>
    </w:p>
  </w:footnote>
  <w:footnote w:id="11">
    <w:p w14:paraId="56E533D4" w14:textId="2FC397DF" w:rsidR="003F2978" w:rsidRPr="00041438" w:rsidRDefault="003F2978" w:rsidP="00041438">
      <w:pPr>
        <w:pStyle w:val="Testonotaapidipagina"/>
        <w:jc w:val="both"/>
        <w:rPr>
          <w:sz w:val="18"/>
          <w:szCs w:val="18"/>
        </w:rPr>
      </w:pPr>
      <w:r>
        <w:rPr>
          <w:rStyle w:val="Rimandonotaapidipagina"/>
        </w:rPr>
        <w:footnoteRef/>
      </w:r>
      <w:r>
        <w:t xml:space="preserve"> </w:t>
      </w:r>
      <w:r w:rsidRPr="00041438">
        <w:rPr>
          <w:sz w:val="18"/>
          <w:szCs w:val="18"/>
        </w:rPr>
        <w:t>A sensi dell’art. 2, paragrafo 38 del Reg. UE n. 1046/2018, l’effetto leva può essere definito come “</w:t>
      </w:r>
      <w:r w:rsidRPr="00041438">
        <w:rPr>
          <w:i/>
          <w:iCs/>
          <w:sz w:val="18"/>
          <w:szCs w:val="18"/>
        </w:rPr>
        <w:t>l’importo del finanziamento rimborsabile fornito ai destinatari finali ammissibili diviso per l’importo del contributo dell’Unione</w:t>
      </w:r>
      <w:r w:rsidRPr="00041438">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6CE5" w14:textId="77777777" w:rsidR="003F2978" w:rsidRPr="00063D2B" w:rsidRDefault="003F2978">
    <w:pPr>
      <w:pStyle w:val="Intestazione"/>
    </w:pPr>
    <w:r w:rsidRPr="00063D2B">
      <w:rPr>
        <w:noProof/>
      </w:rPr>
      <w:drawing>
        <wp:anchor distT="0" distB="0" distL="114300" distR="114300" simplePos="0" relativeHeight="251658240" behindDoc="0" locked="0" layoutInCell="1" allowOverlap="1" wp14:anchorId="79648BFD" wp14:editId="215B58A1">
          <wp:simplePos x="0" y="0"/>
          <wp:positionH relativeFrom="page">
            <wp:align>left</wp:align>
          </wp:positionH>
          <wp:positionV relativeFrom="paragraph">
            <wp:posOffset>0</wp:posOffset>
          </wp:positionV>
          <wp:extent cx="7553960" cy="1003110"/>
          <wp:effectExtent l="0" t="0" r="0" b="6985"/>
          <wp:wrapSquare wrapText="bothSides"/>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24"/>
                  <pic:cNvPicPr/>
                </pic:nvPicPr>
                <pic:blipFill>
                  <a:blip r:embed="rId1">
                    <a:extLst>
                      <a:ext uri="{28A0092B-C50C-407E-A947-70E740481C1C}">
                        <a14:useLocalDpi xmlns:a14="http://schemas.microsoft.com/office/drawing/2010/main" val="0"/>
                      </a:ext>
                    </a:extLst>
                  </a:blip>
                  <a:stretch>
                    <a:fillRect/>
                  </a:stretch>
                </pic:blipFill>
                <pic:spPr>
                  <a:xfrm>
                    <a:off x="0" y="0"/>
                    <a:ext cx="7553960" cy="1003110"/>
                  </a:xfrm>
                  <a:prstGeom prst="rect">
                    <a:avLst/>
                  </a:prstGeom>
                </pic:spPr>
              </pic:pic>
            </a:graphicData>
          </a:graphic>
          <wp14:sizeRelH relativeFrom="margin">
            <wp14:pctWidth>0</wp14:pctWidth>
          </wp14:sizeRelH>
          <wp14:sizeRelV relativeFrom="margin">
            <wp14:pctHeight>0</wp14:pctHeight>
          </wp14:sizeRelV>
        </wp:anchor>
      </w:drawing>
    </w:r>
    <w:r w:rsidRPr="00063D2B">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FF2"/>
    <w:multiLevelType w:val="hybridMultilevel"/>
    <w:tmpl w:val="98E8A93C"/>
    <w:lvl w:ilvl="0" w:tplc="0410000F">
      <w:start w:val="1"/>
      <w:numFmt w:val="decimal"/>
      <w:lvlText w:val="%1."/>
      <w:lvlJc w:val="left"/>
      <w:pPr>
        <w:ind w:left="360" w:hanging="360"/>
      </w:pPr>
      <w:rPr>
        <w:rFonts w:hint="default"/>
      </w:rPr>
    </w:lvl>
    <w:lvl w:ilvl="1" w:tplc="038EC64E">
      <w:start w:val="1"/>
      <w:numFmt w:val="upperLetter"/>
      <w:lvlText w:val="%2."/>
      <w:lvlJc w:val="left"/>
      <w:pPr>
        <w:ind w:left="1080" w:hanging="360"/>
      </w:pPr>
      <w:rPr>
        <w:rFont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21A433B"/>
    <w:multiLevelType w:val="hybridMultilevel"/>
    <w:tmpl w:val="420088D6"/>
    <w:lvl w:ilvl="0" w:tplc="C0807DDC">
      <w:start w:val="1"/>
      <w:numFmt w:val="bullet"/>
      <w:lvlText w:val=""/>
      <w:lvlJc w:val="left"/>
      <w:pPr>
        <w:ind w:left="360" w:hanging="360"/>
      </w:pPr>
      <w:rPr>
        <w:rFonts w:ascii="Symbol" w:hAnsi="Symbol" w:hint="default"/>
      </w:rPr>
    </w:lvl>
    <w:lvl w:ilvl="1" w:tplc="E00CCCFA">
      <w:start w:val="6"/>
      <w:numFmt w:val="bullet"/>
      <w:lvlText w:val=""/>
      <w:lvlJc w:val="left"/>
      <w:pPr>
        <w:ind w:left="1080" w:hanging="360"/>
      </w:pPr>
      <w:rPr>
        <w:rFonts w:ascii="Symbol" w:eastAsiaTheme="minorHAnsi" w:hAnsi="Symbol" w:cstheme="minorHAnsi"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30742BE"/>
    <w:multiLevelType w:val="hybridMultilevel"/>
    <w:tmpl w:val="DEF619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6247B0"/>
    <w:multiLevelType w:val="hybridMultilevel"/>
    <w:tmpl w:val="ED2EBF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9526C6"/>
    <w:multiLevelType w:val="hybridMultilevel"/>
    <w:tmpl w:val="594C3B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360E2F"/>
    <w:multiLevelType w:val="hybridMultilevel"/>
    <w:tmpl w:val="AFB2B73E"/>
    <w:lvl w:ilvl="0" w:tplc="C0807D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3900DD"/>
    <w:multiLevelType w:val="hybridMultilevel"/>
    <w:tmpl w:val="A462D61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EF20D57"/>
    <w:multiLevelType w:val="hybridMultilevel"/>
    <w:tmpl w:val="0B5629C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8E746B"/>
    <w:multiLevelType w:val="hybridMultilevel"/>
    <w:tmpl w:val="1A52404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13F83B0E"/>
    <w:multiLevelType w:val="hybridMultilevel"/>
    <w:tmpl w:val="9CA885B0"/>
    <w:lvl w:ilvl="0" w:tplc="C0807D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D420BE"/>
    <w:multiLevelType w:val="hybridMultilevel"/>
    <w:tmpl w:val="804457E6"/>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597E56"/>
    <w:multiLevelType w:val="multilevel"/>
    <w:tmpl w:val="11EAC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C0905"/>
    <w:multiLevelType w:val="hybridMultilevel"/>
    <w:tmpl w:val="8206A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214D64"/>
    <w:multiLevelType w:val="hybridMultilevel"/>
    <w:tmpl w:val="92901D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9A039B0"/>
    <w:multiLevelType w:val="hybridMultilevel"/>
    <w:tmpl w:val="AFC0E65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CA77D3"/>
    <w:multiLevelType w:val="hybridMultilevel"/>
    <w:tmpl w:val="4C34E52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2D5C7B"/>
    <w:multiLevelType w:val="hybridMultilevel"/>
    <w:tmpl w:val="4FDC2204"/>
    <w:lvl w:ilvl="0" w:tplc="C0807DD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8254E54"/>
    <w:multiLevelType w:val="hybridMultilevel"/>
    <w:tmpl w:val="6CB49376"/>
    <w:lvl w:ilvl="0" w:tplc="C0807DD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8A3338F"/>
    <w:multiLevelType w:val="hybridMultilevel"/>
    <w:tmpl w:val="7EC6EA3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E742CD"/>
    <w:multiLevelType w:val="hybridMultilevel"/>
    <w:tmpl w:val="D7EAC1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EA5095"/>
    <w:multiLevelType w:val="hybridMultilevel"/>
    <w:tmpl w:val="F146CDF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EE6A0A"/>
    <w:multiLevelType w:val="hybridMultilevel"/>
    <w:tmpl w:val="DF3C99EC"/>
    <w:lvl w:ilvl="0" w:tplc="C0807DDC">
      <w:start w:val="1"/>
      <w:numFmt w:val="bullet"/>
      <w:lvlText w:val=""/>
      <w:lvlJc w:val="left"/>
      <w:pPr>
        <w:ind w:left="360" w:hanging="360"/>
      </w:pPr>
      <w:rPr>
        <w:rFonts w:ascii="Symbol" w:hAnsi="Symbol" w:hint="default"/>
      </w:rPr>
    </w:lvl>
    <w:lvl w:ilvl="1" w:tplc="4A0E61F8">
      <w:numFmt w:val="bullet"/>
      <w:lvlText w:val="•"/>
      <w:lvlJc w:val="left"/>
      <w:pPr>
        <w:ind w:left="1080" w:hanging="360"/>
      </w:pPr>
      <w:rPr>
        <w:rFonts w:ascii="Calibri" w:eastAsiaTheme="minorHAnsi" w:hAnsi="Calibri" w:cs="Calibri" w:hint="default"/>
      </w:rPr>
    </w:lvl>
    <w:lvl w:ilvl="2" w:tplc="8CA88268">
      <w:start w:val="4"/>
      <w:numFmt w:val="bullet"/>
      <w:lvlText w:val="-"/>
      <w:lvlJc w:val="left"/>
      <w:pPr>
        <w:ind w:left="2148" w:hanging="708"/>
      </w:pPr>
      <w:rPr>
        <w:rFonts w:ascii="Calibri" w:eastAsiaTheme="minorHAnsi" w:hAnsi="Calibri" w:cstheme="minorBidi"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C635F63"/>
    <w:multiLevelType w:val="hybridMultilevel"/>
    <w:tmpl w:val="45066F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CE3039D"/>
    <w:multiLevelType w:val="hybridMultilevel"/>
    <w:tmpl w:val="B566B7DC"/>
    <w:lvl w:ilvl="0" w:tplc="C0807DD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DA34759"/>
    <w:multiLevelType w:val="hybridMultilevel"/>
    <w:tmpl w:val="CC1832B0"/>
    <w:lvl w:ilvl="0" w:tplc="C0807DD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B5635C"/>
    <w:multiLevelType w:val="hybridMultilevel"/>
    <w:tmpl w:val="1C4E223C"/>
    <w:lvl w:ilvl="0" w:tplc="C0807DD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6014A46"/>
    <w:multiLevelType w:val="hybridMultilevel"/>
    <w:tmpl w:val="8A7AD6B0"/>
    <w:lvl w:ilvl="0" w:tplc="0410000F">
      <w:start w:val="1"/>
      <w:numFmt w:val="decimal"/>
      <w:lvlText w:val="%1."/>
      <w:lvlJc w:val="left"/>
      <w:pPr>
        <w:ind w:left="720" w:hanging="360"/>
      </w:pPr>
    </w:lvl>
    <w:lvl w:ilvl="1" w:tplc="BDF4B9E8">
      <w:numFmt w:val="bullet"/>
      <w:lvlText w:val=""/>
      <w:lvlJc w:val="left"/>
      <w:pPr>
        <w:ind w:left="1440" w:hanging="360"/>
      </w:pPr>
      <w:rPr>
        <w:rFonts w:ascii="Wingdings" w:eastAsiaTheme="minorHAnsi" w:hAnsi="Wingdings" w:cstheme="minorHAns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707143"/>
    <w:multiLevelType w:val="hybridMultilevel"/>
    <w:tmpl w:val="C3366C00"/>
    <w:lvl w:ilvl="0" w:tplc="BFF244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72F6599"/>
    <w:multiLevelType w:val="hybridMultilevel"/>
    <w:tmpl w:val="8B92DC38"/>
    <w:lvl w:ilvl="0" w:tplc="9EC4385C">
      <w:start w:val="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9E68B1"/>
    <w:multiLevelType w:val="hybridMultilevel"/>
    <w:tmpl w:val="3C7249CA"/>
    <w:lvl w:ilvl="0" w:tplc="FCE0CB3E">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4324D9"/>
    <w:multiLevelType w:val="hybridMultilevel"/>
    <w:tmpl w:val="C60E865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6690DDA"/>
    <w:multiLevelType w:val="hybridMultilevel"/>
    <w:tmpl w:val="2BF83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8241F5"/>
    <w:multiLevelType w:val="hybridMultilevel"/>
    <w:tmpl w:val="6A14F888"/>
    <w:lvl w:ilvl="0" w:tplc="E02479F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515A8F"/>
    <w:multiLevelType w:val="multilevel"/>
    <w:tmpl w:val="18F0FB94"/>
    <w:lvl w:ilvl="0">
      <w:start w:val="1"/>
      <w:numFmt w:val="decimal"/>
      <w:lvlText w:val="%1."/>
      <w:lvlJc w:val="left"/>
      <w:pPr>
        <w:ind w:left="0" w:firstLine="0"/>
      </w:pPr>
      <w:rPr>
        <w:rFonts w:asciiTheme="minorHAnsi" w:hAnsiTheme="minorHAnsi" w:cstheme="minorHAnsi" w:hint="default"/>
        <w:b w:val="0"/>
        <w:bCs/>
        <w:i w:val="0"/>
        <w:color w:val="0070C0"/>
        <w:position w:val="0"/>
        <w:sz w:val="22"/>
        <w:szCs w:val="22"/>
        <w:u w:val="none" w:color="244061"/>
      </w:rPr>
    </w:lvl>
    <w:lvl w:ilvl="1">
      <w:start w:val="1"/>
      <w:numFmt w:val="decimal"/>
      <w:lvlText w:val="%1.%2."/>
      <w:lvlJc w:val="left"/>
      <w:pPr>
        <w:ind w:left="0" w:firstLine="0"/>
      </w:pPr>
      <w:rPr>
        <w:rFonts w:ascii="Cambria" w:eastAsia="Calibri" w:hAnsi="Cambria" w:cs="Calibri" w:hint="default"/>
        <w:b w:val="0"/>
        <w:bCs/>
        <w:i/>
        <w:color w:val="0070C0"/>
        <w:position w:val="0"/>
        <w:sz w:val="22"/>
        <w:szCs w:val="22"/>
        <w:u w:color="244061"/>
      </w:rPr>
    </w:lvl>
    <w:lvl w:ilvl="2">
      <w:start w:val="1"/>
      <w:numFmt w:val="decimal"/>
      <w:lvlText w:val="%1.%2.%3."/>
      <w:lvlJc w:val="left"/>
      <w:pPr>
        <w:ind w:left="0" w:firstLine="0"/>
      </w:pPr>
      <w:rPr>
        <w:rFonts w:ascii="Cambria" w:eastAsia="Calibri" w:hAnsi="Cambria" w:cs="Calibri" w:hint="default"/>
        <w:b w:val="0"/>
        <w:bCs/>
        <w:i/>
        <w:color w:val="244061"/>
        <w:position w:val="0"/>
        <w:u w:color="244061"/>
      </w:rPr>
    </w:lvl>
    <w:lvl w:ilvl="3">
      <w:start w:val="1"/>
      <w:numFmt w:val="decimal"/>
      <w:lvlText w:val="%1.%2.%3.%4."/>
      <w:lvlJc w:val="left"/>
      <w:pPr>
        <w:ind w:left="0" w:firstLine="0"/>
      </w:pPr>
      <w:rPr>
        <w:rFonts w:ascii="Calibri" w:eastAsia="Calibri" w:hAnsi="Calibri" w:cs="Calibri" w:hint="default"/>
        <w:b w:val="0"/>
        <w:bCs/>
        <w:color w:val="244061"/>
        <w:position w:val="0"/>
        <w:u w:color="244061"/>
      </w:rPr>
    </w:lvl>
    <w:lvl w:ilvl="4">
      <w:start w:val="1"/>
      <w:numFmt w:val="decimal"/>
      <w:lvlText w:val="%1.%2.%3.%4.%5."/>
      <w:lvlJc w:val="left"/>
      <w:pPr>
        <w:ind w:left="0" w:firstLine="0"/>
      </w:pPr>
      <w:rPr>
        <w:rFonts w:ascii="Calibri" w:eastAsia="Calibri" w:hAnsi="Calibri" w:cs="Calibri" w:hint="default"/>
        <w:b/>
        <w:bCs/>
        <w:color w:val="244061"/>
        <w:position w:val="0"/>
        <w:u w:color="244061"/>
      </w:rPr>
    </w:lvl>
    <w:lvl w:ilvl="5">
      <w:start w:val="1"/>
      <w:numFmt w:val="decimal"/>
      <w:lvlText w:val="%1.%2.%3.%4.%5.%6."/>
      <w:lvlJc w:val="left"/>
      <w:pPr>
        <w:ind w:left="0" w:firstLine="0"/>
      </w:pPr>
      <w:rPr>
        <w:rFonts w:ascii="Calibri" w:eastAsia="Calibri" w:hAnsi="Calibri" w:cs="Calibri" w:hint="default"/>
        <w:b/>
        <w:bCs/>
        <w:color w:val="244061"/>
        <w:position w:val="0"/>
        <w:u w:color="244061"/>
      </w:rPr>
    </w:lvl>
    <w:lvl w:ilvl="6">
      <w:start w:val="1"/>
      <w:numFmt w:val="decimal"/>
      <w:lvlText w:val="%1.%2.%3.%4.%5.%6.%7."/>
      <w:lvlJc w:val="left"/>
      <w:pPr>
        <w:ind w:left="0" w:firstLine="0"/>
      </w:pPr>
      <w:rPr>
        <w:rFonts w:ascii="Calibri" w:eastAsia="Calibri" w:hAnsi="Calibri" w:cs="Calibri" w:hint="default"/>
        <w:b/>
        <w:bCs/>
        <w:color w:val="244061"/>
        <w:position w:val="0"/>
        <w:u w:color="244061"/>
      </w:rPr>
    </w:lvl>
    <w:lvl w:ilvl="7">
      <w:start w:val="1"/>
      <w:numFmt w:val="decimal"/>
      <w:lvlText w:val="%1.%2.%3.%4.%5.%6.%7.%8."/>
      <w:lvlJc w:val="left"/>
      <w:pPr>
        <w:ind w:left="0" w:firstLine="0"/>
      </w:pPr>
      <w:rPr>
        <w:rFonts w:ascii="Calibri" w:eastAsia="Calibri" w:hAnsi="Calibri" w:cs="Calibri" w:hint="default"/>
        <w:b/>
        <w:bCs/>
        <w:color w:val="244061"/>
        <w:position w:val="0"/>
        <w:u w:color="244061"/>
      </w:rPr>
    </w:lvl>
    <w:lvl w:ilvl="8">
      <w:start w:val="1"/>
      <w:numFmt w:val="decimal"/>
      <w:lvlText w:val="%1.%2.%3.%4.%5.%6.%7.%8.%9."/>
      <w:lvlJc w:val="left"/>
      <w:pPr>
        <w:ind w:left="0" w:firstLine="0"/>
      </w:pPr>
      <w:rPr>
        <w:rFonts w:ascii="Calibri" w:eastAsia="Calibri" w:hAnsi="Calibri" w:cs="Calibri" w:hint="default"/>
        <w:b/>
        <w:bCs/>
        <w:color w:val="244061"/>
        <w:position w:val="0"/>
        <w:u w:color="244061"/>
      </w:rPr>
    </w:lvl>
  </w:abstractNum>
  <w:abstractNum w:abstractNumId="34" w15:restartNumberingAfterBreak="0">
    <w:nsid w:val="7C3F55E4"/>
    <w:multiLevelType w:val="hybridMultilevel"/>
    <w:tmpl w:val="90E07C8C"/>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6"/>
  </w:num>
  <w:num w:numId="2">
    <w:abstractNumId w:val="0"/>
  </w:num>
  <w:num w:numId="3">
    <w:abstractNumId w:val="14"/>
  </w:num>
  <w:num w:numId="4">
    <w:abstractNumId w:val="10"/>
  </w:num>
  <w:num w:numId="5">
    <w:abstractNumId w:val="29"/>
  </w:num>
  <w:num w:numId="6">
    <w:abstractNumId w:val="5"/>
  </w:num>
  <w:num w:numId="7">
    <w:abstractNumId w:val="1"/>
  </w:num>
  <w:num w:numId="8">
    <w:abstractNumId w:val="28"/>
  </w:num>
  <w:num w:numId="9">
    <w:abstractNumId w:val="21"/>
  </w:num>
  <w:num w:numId="10">
    <w:abstractNumId w:val="9"/>
  </w:num>
  <w:num w:numId="11">
    <w:abstractNumId w:val="3"/>
  </w:num>
  <w:num w:numId="12">
    <w:abstractNumId w:val="23"/>
  </w:num>
  <w:num w:numId="13">
    <w:abstractNumId w:val="24"/>
  </w:num>
  <w:num w:numId="14">
    <w:abstractNumId w:val="13"/>
  </w:num>
  <w:num w:numId="15">
    <w:abstractNumId w:val="26"/>
  </w:num>
  <w:num w:numId="16">
    <w:abstractNumId w:val="19"/>
  </w:num>
  <w:num w:numId="17">
    <w:abstractNumId w:val="25"/>
  </w:num>
  <w:num w:numId="18">
    <w:abstractNumId w:val="17"/>
  </w:num>
  <w:num w:numId="19">
    <w:abstractNumId w:val="12"/>
  </w:num>
  <w:num w:numId="20">
    <w:abstractNumId w:val="16"/>
  </w:num>
  <w:num w:numId="21">
    <w:abstractNumId w:val="2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8"/>
  </w:num>
  <w:num w:numId="25">
    <w:abstractNumId w:val="31"/>
  </w:num>
  <w:num w:numId="26">
    <w:abstractNumId w:val="32"/>
  </w:num>
  <w:num w:numId="27">
    <w:abstractNumId w:val="2"/>
  </w:num>
  <w:num w:numId="28">
    <w:abstractNumId w:val="4"/>
  </w:num>
  <w:num w:numId="29">
    <w:abstractNumId w:val="7"/>
  </w:num>
  <w:num w:numId="30">
    <w:abstractNumId w:val="33"/>
  </w:num>
  <w:num w:numId="31">
    <w:abstractNumId w:val="22"/>
  </w:num>
  <w:num w:numId="32">
    <w:abstractNumId w:val="15"/>
  </w:num>
  <w:num w:numId="33">
    <w:abstractNumId w:val="11"/>
  </w:num>
  <w:num w:numId="34">
    <w:abstractNumId w:val="18"/>
  </w:num>
  <w:num w:numId="35">
    <w:abstractNumId w:val="20"/>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C6"/>
    <w:rsid w:val="00000A41"/>
    <w:rsid w:val="000049CF"/>
    <w:rsid w:val="00006E3B"/>
    <w:rsid w:val="00011012"/>
    <w:rsid w:val="00013223"/>
    <w:rsid w:val="00017126"/>
    <w:rsid w:val="000225DE"/>
    <w:rsid w:val="00023AA6"/>
    <w:rsid w:val="00026CAC"/>
    <w:rsid w:val="000300EA"/>
    <w:rsid w:val="000341F0"/>
    <w:rsid w:val="00041438"/>
    <w:rsid w:val="00052734"/>
    <w:rsid w:val="00056314"/>
    <w:rsid w:val="00063D2B"/>
    <w:rsid w:val="00064589"/>
    <w:rsid w:val="00072512"/>
    <w:rsid w:val="000762AC"/>
    <w:rsid w:val="00076B4E"/>
    <w:rsid w:val="00080B6C"/>
    <w:rsid w:val="000932B8"/>
    <w:rsid w:val="000979CD"/>
    <w:rsid w:val="000A2694"/>
    <w:rsid w:val="000A345B"/>
    <w:rsid w:val="000A5415"/>
    <w:rsid w:val="000B0DA7"/>
    <w:rsid w:val="000B1984"/>
    <w:rsid w:val="000B2041"/>
    <w:rsid w:val="000C2416"/>
    <w:rsid w:val="000C371B"/>
    <w:rsid w:val="000C6BCD"/>
    <w:rsid w:val="000E3D34"/>
    <w:rsid w:val="000F57DA"/>
    <w:rsid w:val="00100F7B"/>
    <w:rsid w:val="00100FFE"/>
    <w:rsid w:val="00103B89"/>
    <w:rsid w:val="00106D19"/>
    <w:rsid w:val="00115BB1"/>
    <w:rsid w:val="001200D0"/>
    <w:rsid w:val="00130A26"/>
    <w:rsid w:val="00132921"/>
    <w:rsid w:val="0013342E"/>
    <w:rsid w:val="00134147"/>
    <w:rsid w:val="0014124B"/>
    <w:rsid w:val="00152D94"/>
    <w:rsid w:val="0016008F"/>
    <w:rsid w:val="00163AAB"/>
    <w:rsid w:val="00164424"/>
    <w:rsid w:val="00166FA3"/>
    <w:rsid w:val="00167549"/>
    <w:rsid w:val="00173C8B"/>
    <w:rsid w:val="001775D9"/>
    <w:rsid w:val="0018326A"/>
    <w:rsid w:val="001836A9"/>
    <w:rsid w:val="00186EBF"/>
    <w:rsid w:val="001875C7"/>
    <w:rsid w:val="00194D61"/>
    <w:rsid w:val="00197470"/>
    <w:rsid w:val="001A086F"/>
    <w:rsid w:val="001B0DAF"/>
    <w:rsid w:val="001B1787"/>
    <w:rsid w:val="001B4ECB"/>
    <w:rsid w:val="001B52DD"/>
    <w:rsid w:val="001C2246"/>
    <w:rsid w:val="001C2D5D"/>
    <w:rsid w:val="001C356D"/>
    <w:rsid w:val="001C59FF"/>
    <w:rsid w:val="001C6392"/>
    <w:rsid w:val="001C7E29"/>
    <w:rsid w:val="001D5683"/>
    <w:rsid w:val="001E0309"/>
    <w:rsid w:val="001E0BE1"/>
    <w:rsid w:val="001E1752"/>
    <w:rsid w:val="001E2D76"/>
    <w:rsid w:val="001E4928"/>
    <w:rsid w:val="001E631D"/>
    <w:rsid w:val="001F140C"/>
    <w:rsid w:val="001F1A67"/>
    <w:rsid w:val="001F704C"/>
    <w:rsid w:val="002073F1"/>
    <w:rsid w:val="00222CDE"/>
    <w:rsid w:val="002231D2"/>
    <w:rsid w:val="00230B33"/>
    <w:rsid w:val="00232DF5"/>
    <w:rsid w:val="002330FB"/>
    <w:rsid w:val="00237360"/>
    <w:rsid w:val="00237393"/>
    <w:rsid w:val="00241EAE"/>
    <w:rsid w:val="0024479B"/>
    <w:rsid w:val="00244EDE"/>
    <w:rsid w:val="002555E0"/>
    <w:rsid w:val="00271FEA"/>
    <w:rsid w:val="00272DE9"/>
    <w:rsid w:val="00277734"/>
    <w:rsid w:val="0028721A"/>
    <w:rsid w:val="00296772"/>
    <w:rsid w:val="002C56B4"/>
    <w:rsid w:val="002C799D"/>
    <w:rsid w:val="002D284D"/>
    <w:rsid w:val="002D78C6"/>
    <w:rsid w:val="002E33C3"/>
    <w:rsid w:val="002E74E1"/>
    <w:rsid w:val="002F3C3A"/>
    <w:rsid w:val="00301D16"/>
    <w:rsid w:val="00301FB6"/>
    <w:rsid w:val="00302123"/>
    <w:rsid w:val="00306FE3"/>
    <w:rsid w:val="00314C00"/>
    <w:rsid w:val="0032068E"/>
    <w:rsid w:val="00320F72"/>
    <w:rsid w:val="00324BCE"/>
    <w:rsid w:val="00327C00"/>
    <w:rsid w:val="0033598E"/>
    <w:rsid w:val="003402C2"/>
    <w:rsid w:val="00341060"/>
    <w:rsid w:val="00344653"/>
    <w:rsid w:val="00352FEC"/>
    <w:rsid w:val="0035426A"/>
    <w:rsid w:val="00357710"/>
    <w:rsid w:val="00361762"/>
    <w:rsid w:val="0036597B"/>
    <w:rsid w:val="0038459C"/>
    <w:rsid w:val="00390564"/>
    <w:rsid w:val="003952C2"/>
    <w:rsid w:val="003A068C"/>
    <w:rsid w:val="003A5BCE"/>
    <w:rsid w:val="003B1ABC"/>
    <w:rsid w:val="003B4BF2"/>
    <w:rsid w:val="003B5860"/>
    <w:rsid w:val="003C61BB"/>
    <w:rsid w:val="003D17DD"/>
    <w:rsid w:val="003D67B6"/>
    <w:rsid w:val="003E148C"/>
    <w:rsid w:val="003E5A98"/>
    <w:rsid w:val="003E6BC4"/>
    <w:rsid w:val="003F2081"/>
    <w:rsid w:val="003F2978"/>
    <w:rsid w:val="003F30DE"/>
    <w:rsid w:val="003F3D46"/>
    <w:rsid w:val="004001A9"/>
    <w:rsid w:val="00402B48"/>
    <w:rsid w:val="00406D94"/>
    <w:rsid w:val="00411293"/>
    <w:rsid w:val="004113A5"/>
    <w:rsid w:val="004313B7"/>
    <w:rsid w:val="0043177D"/>
    <w:rsid w:val="004443B2"/>
    <w:rsid w:val="00444B13"/>
    <w:rsid w:val="0044565D"/>
    <w:rsid w:val="00446731"/>
    <w:rsid w:val="00447EA2"/>
    <w:rsid w:val="004575DC"/>
    <w:rsid w:val="00457DEE"/>
    <w:rsid w:val="0046060B"/>
    <w:rsid w:val="004648B7"/>
    <w:rsid w:val="004669F6"/>
    <w:rsid w:val="004676A3"/>
    <w:rsid w:val="00467A20"/>
    <w:rsid w:val="00473CB3"/>
    <w:rsid w:val="00476DF7"/>
    <w:rsid w:val="004779AB"/>
    <w:rsid w:val="00480259"/>
    <w:rsid w:val="004879FA"/>
    <w:rsid w:val="004903E9"/>
    <w:rsid w:val="00490D73"/>
    <w:rsid w:val="00492D36"/>
    <w:rsid w:val="00494DA1"/>
    <w:rsid w:val="004965E2"/>
    <w:rsid w:val="004973CE"/>
    <w:rsid w:val="004A2E72"/>
    <w:rsid w:val="004C16F8"/>
    <w:rsid w:val="004C2A21"/>
    <w:rsid w:val="004D133D"/>
    <w:rsid w:val="004D1A2B"/>
    <w:rsid w:val="004E46F1"/>
    <w:rsid w:val="004F5B73"/>
    <w:rsid w:val="00501307"/>
    <w:rsid w:val="005046B4"/>
    <w:rsid w:val="00504B6B"/>
    <w:rsid w:val="00516367"/>
    <w:rsid w:val="0051653A"/>
    <w:rsid w:val="005165D9"/>
    <w:rsid w:val="00520971"/>
    <w:rsid w:val="00525D2A"/>
    <w:rsid w:val="00526ADE"/>
    <w:rsid w:val="00530AB7"/>
    <w:rsid w:val="00536274"/>
    <w:rsid w:val="00540A91"/>
    <w:rsid w:val="00544C08"/>
    <w:rsid w:val="00544D2E"/>
    <w:rsid w:val="005457AB"/>
    <w:rsid w:val="005529A1"/>
    <w:rsid w:val="0056110A"/>
    <w:rsid w:val="0056322F"/>
    <w:rsid w:val="0056362D"/>
    <w:rsid w:val="005715D7"/>
    <w:rsid w:val="00574A80"/>
    <w:rsid w:val="005809D7"/>
    <w:rsid w:val="00587AA9"/>
    <w:rsid w:val="00591831"/>
    <w:rsid w:val="00592B17"/>
    <w:rsid w:val="0059444C"/>
    <w:rsid w:val="005A16F5"/>
    <w:rsid w:val="005B1BC4"/>
    <w:rsid w:val="005B43AB"/>
    <w:rsid w:val="005C738C"/>
    <w:rsid w:val="005C77DE"/>
    <w:rsid w:val="005D0663"/>
    <w:rsid w:val="005D0AEE"/>
    <w:rsid w:val="005D6983"/>
    <w:rsid w:val="005D7FB6"/>
    <w:rsid w:val="005E0343"/>
    <w:rsid w:val="005E4B3A"/>
    <w:rsid w:val="005E5068"/>
    <w:rsid w:val="005E580D"/>
    <w:rsid w:val="005F0067"/>
    <w:rsid w:val="005F0604"/>
    <w:rsid w:val="005F130E"/>
    <w:rsid w:val="005F1A3D"/>
    <w:rsid w:val="005F4A43"/>
    <w:rsid w:val="005F4EA1"/>
    <w:rsid w:val="006001D1"/>
    <w:rsid w:val="0060169E"/>
    <w:rsid w:val="006030BE"/>
    <w:rsid w:val="00610A10"/>
    <w:rsid w:val="0061215A"/>
    <w:rsid w:val="00620E00"/>
    <w:rsid w:val="00621C68"/>
    <w:rsid w:val="0062332D"/>
    <w:rsid w:val="006408FF"/>
    <w:rsid w:val="00642E45"/>
    <w:rsid w:val="006438FB"/>
    <w:rsid w:val="006467E4"/>
    <w:rsid w:val="0065004E"/>
    <w:rsid w:val="00654F3B"/>
    <w:rsid w:val="00656FA4"/>
    <w:rsid w:val="0066028B"/>
    <w:rsid w:val="00662E57"/>
    <w:rsid w:val="0067042E"/>
    <w:rsid w:val="00671941"/>
    <w:rsid w:val="00674EB2"/>
    <w:rsid w:val="006767E8"/>
    <w:rsid w:val="00681CCC"/>
    <w:rsid w:val="00684768"/>
    <w:rsid w:val="00690774"/>
    <w:rsid w:val="006A1435"/>
    <w:rsid w:val="006A5E0F"/>
    <w:rsid w:val="006B3341"/>
    <w:rsid w:val="006B4136"/>
    <w:rsid w:val="006C1590"/>
    <w:rsid w:val="006C25C5"/>
    <w:rsid w:val="006C76D4"/>
    <w:rsid w:val="006D14D8"/>
    <w:rsid w:val="006D2B86"/>
    <w:rsid w:val="006F09EA"/>
    <w:rsid w:val="006F5F1A"/>
    <w:rsid w:val="00703165"/>
    <w:rsid w:val="00703B40"/>
    <w:rsid w:val="0070448E"/>
    <w:rsid w:val="0070799C"/>
    <w:rsid w:val="00720EAB"/>
    <w:rsid w:val="00723983"/>
    <w:rsid w:val="00727506"/>
    <w:rsid w:val="00737765"/>
    <w:rsid w:val="00737CD6"/>
    <w:rsid w:val="0074224D"/>
    <w:rsid w:val="007628AA"/>
    <w:rsid w:val="0076450B"/>
    <w:rsid w:val="00770219"/>
    <w:rsid w:val="00772DF8"/>
    <w:rsid w:val="0077327B"/>
    <w:rsid w:val="0078127D"/>
    <w:rsid w:val="00784C97"/>
    <w:rsid w:val="007854C3"/>
    <w:rsid w:val="00796355"/>
    <w:rsid w:val="00797A45"/>
    <w:rsid w:val="007A2B4B"/>
    <w:rsid w:val="007B6EFE"/>
    <w:rsid w:val="007C04AD"/>
    <w:rsid w:val="007C73C9"/>
    <w:rsid w:val="007D4E6B"/>
    <w:rsid w:val="007D7A11"/>
    <w:rsid w:val="007E3D22"/>
    <w:rsid w:val="007E744D"/>
    <w:rsid w:val="007F2395"/>
    <w:rsid w:val="00811868"/>
    <w:rsid w:val="008118A5"/>
    <w:rsid w:val="0082034D"/>
    <w:rsid w:val="00821BFE"/>
    <w:rsid w:val="0082473A"/>
    <w:rsid w:val="008254C4"/>
    <w:rsid w:val="00832F2E"/>
    <w:rsid w:val="00834219"/>
    <w:rsid w:val="008356F3"/>
    <w:rsid w:val="008403BD"/>
    <w:rsid w:val="00844C2D"/>
    <w:rsid w:val="00846E68"/>
    <w:rsid w:val="00855846"/>
    <w:rsid w:val="0086003C"/>
    <w:rsid w:val="00860F1C"/>
    <w:rsid w:val="008617D0"/>
    <w:rsid w:val="00862D25"/>
    <w:rsid w:val="008767D3"/>
    <w:rsid w:val="00876F0E"/>
    <w:rsid w:val="008821A7"/>
    <w:rsid w:val="00885285"/>
    <w:rsid w:val="00885F5A"/>
    <w:rsid w:val="0089133C"/>
    <w:rsid w:val="0089604D"/>
    <w:rsid w:val="008A1DEB"/>
    <w:rsid w:val="008A3CFB"/>
    <w:rsid w:val="008A5DEB"/>
    <w:rsid w:val="008B0B92"/>
    <w:rsid w:val="008C13D3"/>
    <w:rsid w:val="008C1D1B"/>
    <w:rsid w:val="008C1F8C"/>
    <w:rsid w:val="008D1050"/>
    <w:rsid w:val="008D7E14"/>
    <w:rsid w:val="008E1984"/>
    <w:rsid w:val="009128F3"/>
    <w:rsid w:val="009157E5"/>
    <w:rsid w:val="00917A3F"/>
    <w:rsid w:val="00923584"/>
    <w:rsid w:val="0092441D"/>
    <w:rsid w:val="009272F9"/>
    <w:rsid w:val="00932808"/>
    <w:rsid w:val="00943BEB"/>
    <w:rsid w:val="00945D67"/>
    <w:rsid w:val="00954A7D"/>
    <w:rsid w:val="009627C6"/>
    <w:rsid w:val="00963C5D"/>
    <w:rsid w:val="00967168"/>
    <w:rsid w:val="0096725C"/>
    <w:rsid w:val="00970522"/>
    <w:rsid w:val="0097225B"/>
    <w:rsid w:val="00976370"/>
    <w:rsid w:val="00977810"/>
    <w:rsid w:val="00977ADB"/>
    <w:rsid w:val="009802A0"/>
    <w:rsid w:val="009841C1"/>
    <w:rsid w:val="00990A15"/>
    <w:rsid w:val="00990CA8"/>
    <w:rsid w:val="009912B7"/>
    <w:rsid w:val="00992253"/>
    <w:rsid w:val="009A29C2"/>
    <w:rsid w:val="009A2FA3"/>
    <w:rsid w:val="009A71E6"/>
    <w:rsid w:val="009B1B3C"/>
    <w:rsid w:val="009B252E"/>
    <w:rsid w:val="009C0EB6"/>
    <w:rsid w:val="009C3066"/>
    <w:rsid w:val="009D0C8A"/>
    <w:rsid w:val="009D127B"/>
    <w:rsid w:val="009D6322"/>
    <w:rsid w:val="009E27A6"/>
    <w:rsid w:val="009F6EEF"/>
    <w:rsid w:val="00A13518"/>
    <w:rsid w:val="00A138C5"/>
    <w:rsid w:val="00A17A7B"/>
    <w:rsid w:val="00A23332"/>
    <w:rsid w:val="00A25164"/>
    <w:rsid w:val="00A34B7B"/>
    <w:rsid w:val="00A37B5E"/>
    <w:rsid w:val="00A502C1"/>
    <w:rsid w:val="00A61105"/>
    <w:rsid w:val="00A61FAA"/>
    <w:rsid w:val="00A62793"/>
    <w:rsid w:val="00A7472E"/>
    <w:rsid w:val="00A767CB"/>
    <w:rsid w:val="00A76DE8"/>
    <w:rsid w:val="00A8048B"/>
    <w:rsid w:val="00A80895"/>
    <w:rsid w:val="00A9204A"/>
    <w:rsid w:val="00AA30D0"/>
    <w:rsid w:val="00AB3039"/>
    <w:rsid w:val="00AB382D"/>
    <w:rsid w:val="00AB40E4"/>
    <w:rsid w:val="00AB437D"/>
    <w:rsid w:val="00AB518A"/>
    <w:rsid w:val="00AB789D"/>
    <w:rsid w:val="00AB7D2D"/>
    <w:rsid w:val="00AC5C27"/>
    <w:rsid w:val="00AC65C8"/>
    <w:rsid w:val="00AC66D6"/>
    <w:rsid w:val="00AD3349"/>
    <w:rsid w:val="00AD38DB"/>
    <w:rsid w:val="00AE2701"/>
    <w:rsid w:val="00AE4563"/>
    <w:rsid w:val="00AF0BAF"/>
    <w:rsid w:val="00AF163A"/>
    <w:rsid w:val="00AF6386"/>
    <w:rsid w:val="00B00E3E"/>
    <w:rsid w:val="00B0374A"/>
    <w:rsid w:val="00B10AC1"/>
    <w:rsid w:val="00B21484"/>
    <w:rsid w:val="00B23D69"/>
    <w:rsid w:val="00B2527A"/>
    <w:rsid w:val="00B26C44"/>
    <w:rsid w:val="00B34C27"/>
    <w:rsid w:val="00B45941"/>
    <w:rsid w:val="00B469CB"/>
    <w:rsid w:val="00B5172C"/>
    <w:rsid w:val="00B52243"/>
    <w:rsid w:val="00B530B2"/>
    <w:rsid w:val="00B5555A"/>
    <w:rsid w:val="00B55CBC"/>
    <w:rsid w:val="00B61883"/>
    <w:rsid w:val="00B64FAF"/>
    <w:rsid w:val="00B70A95"/>
    <w:rsid w:val="00B7612E"/>
    <w:rsid w:val="00B82E8E"/>
    <w:rsid w:val="00B923E2"/>
    <w:rsid w:val="00B93FDE"/>
    <w:rsid w:val="00B953BD"/>
    <w:rsid w:val="00B95D97"/>
    <w:rsid w:val="00B97102"/>
    <w:rsid w:val="00BA1EA9"/>
    <w:rsid w:val="00BA52A1"/>
    <w:rsid w:val="00BB5DBB"/>
    <w:rsid w:val="00BB6E79"/>
    <w:rsid w:val="00BC0477"/>
    <w:rsid w:val="00BC2104"/>
    <w:rsid w:val="00BC345B"/>
    <w:rsid w:val="00BC6279"/>
    <w:rsid w:val="00BD78BB"/>
    <w:rsid w:val="00BE1381"/>
    <w:rsid w:val="00BF0DF4"/>
    <w:rsid w:val="00C00E53"/>
    <w:rsid w:val="00C00E68"/>
    <w:rsid w:val="00C14D4B"/>
    <w:rsid w:val="00C14E7C"/>
    <w:rsid w:val="00C157F2"/>
    <w:rsid w:val="00C1730D"/>
    <w:rsid w:val="00C27AEB"/>
    <w:rsid w:val="00C35E4E"/>
    <w:rsid w:val="00C42C88"/>
    <w:rsid w:val="00C44F07"/>
    <w:rsid w:val="00C46BC8"/>
    <w:rsid w:val="00C46DDC"/>
    <w:rsid w:val="00C518E9"/>
    <w:rsid w:val="00C5657F"/>
    <w:rsid w:val="00C57973"/>
    <w:rsid w:val="00C712DD"/>
    <w:rsid w:val="00C7136C"/>
    <w:rsid w:val="00C72EC1"/>
    <w:rsid w:val="00C86FF0"/>
    <w:rsid w:val="00C92BD7"/>
    <w:rsid w:val="00C97E5F"/>
    <w:rsid w:val="00CA4E4B"/>
    <w:rsid w:val="00CA677C"/>
    <w:rsid w:val="00CB1894"/>
    <w:rsid w:val="00CB2B1F"/>
    <w:rsid w:val="00CC5CCF"/>
    <w:rsid w:val="00CC62C5"/>
    <w:rsid w:val="00CD0D59"/>
    <w:rsid w:val="00CD713C"/>
    <w:rsid w:val="00CE4009"/>
    <w:rsid w:val="00CE60A3"/>
    <w:rsid w:val="00CE60E5"/>
    <w:rsid w:val="00CE7A25"/>
    <w:rsid w:val="00CF67E8"/>
    <w:rsid w:val="00D048E9"/>
    <w:rsid w:val="00D0514C"/>
    <w:rsid w:val="00D06195"/>
    <w:rsid w:val="00D226A2"/>
    <w:rsid w:val="00D30AE1"/>
    <w:rsid w:val="00D30EC6"/>
    <w:rsid w:val="00D3187B"/>
    <w:rsid w:val="00D33266"/>
    <w:rsid w:val="00D33902"/>
    <w:rsid w:val="00D33F03"/>
    <w:rsid w:val="00D351FA"/>
    <w:rsid w:val="00D36E31"/>
    <w:rsid w:val="00D464AC"/>
    <w:rsid w:val="00D64404"/>
    <w:rsid w:val="00D66D57"/>
    <w:rsid w:val="00D722CD"/>
    <w:rsid w:val="00D73851"/>
    <w:rsid w:val="00D749B2"/>
    <w:rsid w:val="00D86773"/>
    <w:rsid w:val="00D87D84"/>
    <w:rsid w:val="00D90830"/>
    <w:rsid w:val="00DA34F2"/>
    <w:rsid w:val="00DA5760"/>
    <w:rsid w:val="00DA6FD0"/>
    <w:rsid w:val="00DA7448"/>
    <w:rsid w:val="00DB2769"/>
    <w:rsid w:val="00DB4315"/>
    <w:rsid w:val="00DC09A3"/>
    <w:rsid w:val="00DC0B61"/>
    <w:rsid w:val="00DC143B"/>
    <w:rsid w:val="00DC2F56"/>
    <w:rsid w:val="00DD3B19"/>
    <w:rsid w:val="00DD4C11"/>
    <w:rsid w:val="00DD545E"/>
    <w:rsid w:val="00DD680F"/>
    <w:rsid w:val="00DE18A2"/>
    <w:rsid w:val="00E025D8"/>
    <w:rsid w:val="00E14C6A"/>
    <w:rsid w:val="00E17AC1"/>
    <w:rsid w:val="00E2302D"/>
    <w:rsid w:val="00E25BC2"/>
    <w:rsid w:val="00E4161C"/>
    <w:rsid w:val="00E554E9"/>
    <w:rsid w:val="00E7299E"/>
    <w:rsid w:val="00E73432"/>
    <w:rsid w:val="00E74890"/>
    <w:rsid w:val="00E74C21"/>
    <w:rsid w:val="00E76155"/>
    <w:rsid w:val="00E84034"/>
    <w:rsid w:val="00E957F8"/>
    <w:rsid w:val="00E95D3B"/>
    <w:rsid w:val="00EA4CB3"/>
    <w:rsid w:val="00EA622D"/>
    <w:rsid w:val="00EB5069"/>
    <w:rsid w:val="00EB521B"/>
    <w:rsid w:val="00EC1928"/>
    <w:rsid w:val="00EC2C2C"/>
    <w:rsid w:val="00EC378B"/>
    <w:rsid w:val="00EC4FFC"/>
    <w:rsid w:val="00ED0DF0"/>
    <w:rsid w:val="00ED6051"/>
    <w:rsid w:val="00EE2A3F"/>
    <w:rsid w:val="00EE2FFB"/>
    <w:rsid w:val="00EF3BC4"/>
    <w:rsid w:val="00EF44AA"/>
    <w:rsid w:val="00F03442"/>
    <w:rsid w:val="00F237EE"/>
    <w:rsid w:val="00F250B9"/>
    <w:rsid w:val="00F30DF6"/>
    <w:rsid w:val="00F3339E"/>
    <w:rsid w:val="00F36FA0"/>
    <w:rsid w:val="00F37CE5"/>
    <w:rsid w:val="00F438D0"/>
    <w:rsid w:val="00F45BB6"/>
    <w:rsid w:val="00F4624A"/>
    <w:rsid w:val="00F47EEE"/>
    <w:rsid w:val="00F52A4E"/>
    <w:rsid w:val="00F5573D"/>
    <w:rsid w:val="00F56537"/>
    <w:rsid w:val="00F6596D"/>
    <w:rsid w:val="00F730F0"/>
    <w:rsid w:val="00F73AF2"/>
    <w:rsid w:val="00F74CC8"/>
    <w:rsid w:val="00F80497"/>
    <w:rsid w:val="00F87920"/>
    <w:rsid w:val="00F9245E"/>
    <w:rsid w:val="00F951C8"/>
    <w:rsid w:val="00FA19F5"/>
    <w:rsid w:val="00FB1C0D"/>
    <w:rsid w:val="00FB47F0"/>
    <w:rsid w:val="00FD3185"/>
    <w:rsid w:val="00FD4832"/>
    <w:rsid w:val="00FE42F6"/>
    <w:rsid w:val="00FE6F61"/>
    <w:rsid w:val="00FF4F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B20C"/>
  <w15:chartTrackingRefBased/>
  <w15:docId w15:val="{3FF5CA13-D5B8-4205-88AD-7107AD93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575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575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BC6279"/>
  </w:style>
  <w:style w:type="paragraph" w:customStyle="1" w:styleId="Default">
    <w:name w:val="Default"/>
    <w:rsid w:val="00DC143B"/>
    <w:pPr>
      <w:autoSpaceDE w:val="0"/>
      <w:autoSpaceDN w:val="0"/>
      <w:adjustRightInd w:val="0"/>
      <w:spacing w:after="0" w:line="240" w:lineRule="auto"/>
    </w:pPr>
    <w:rPr>
      <w:rFonts w:ascii="Century Gothic" w:hAnsi="Century Gothic" w:cs="Century Gothic"/>
      <w:color w:val="000000"/>
      <w:sz w:val="24"/>
      <w:szCs w:val="24"/>
    </w:rPr>
  </w:style>
  <w:style w:type="paragraph" w:styleId="Nessunaspaziatura">
    <w:name w:val="No Spacing"/>
    <w:uiPriority w:val="1"/>
    <w:qFormat/>
    <w:rsid w:val="00DC2F56"/>
    <w:pPr>
      <w:spacing w:after="0" w:line="240" w:lineRule="auto"/>
    </w:pPr>
  </w:style>
  <w:style w:type="paragraph" w:customStyle="1" w:styleId="Pa25">
    <w:name w:val="Pa25"/>
    <w:basedOn w:val="Default"/>
    <w:next w:val="Default"/>
    <w:uiPriority w:val="99"/>
    <w:rsid w:val="00990CA8"/>
    <w:pPr>
      <w:spacing w:line="231" w:lineRule="atLeast"/>
    </w:pPr>
    <w:rPr>
      <w:rFonts w:ascii="Adobe Garamond Pro" w:hAnsi="Adobe Garamond Pro" w:cstheme="minorBidi"/>
      <w:color w:val="auto"/>
    </w:rPr>
  </w:style>
  <w:style w:type="character" w:customStyle="1" w:styleId="A18">
    <w:name w:val="A18"/>
    <w:uiPriority w:val="99"/>
    <w:rsid w:val="00990CA8"/>
    <w:rPr>
      <w:rFonts w:cs="Adobe Garamond Pro"/>
      <w:color w:val="000000"/>
      <w:sz w:val="13"/>
      <w:szCs w:val="13"/>
    </w:rPr>
  </w:style>
  <w:style w:type="paragraph" w:customStyle="1" w:styleId="Pa24">
    <w:name w:val="Pa24"/>
    <w:basedOn w:val="Default"/>
    <w:next w:val="Default"/>
    <w:uiPriority w:val="99"/>
    <w:rsid w:val="00990CA8"/>
    <w:pPr>
      <w:spacing w:line="231" w:lineRule="atLeast"/>
    </w:pPr>
    <w:rPr>
      <w:rFonts w:ascii="Adobe Garamond Pro" w:hAnsi="Adobe Garamond Pro" w:cstheme="minorBidi"/>
      <w:color w:val="auto"/>
    </w:rPr>
  </w:style>
  <w:style w:type="paragraph" w:customStyle="1" w:styleId="Pa10">
    <w:name w:val="Pa10"/>
    <w:basedOn w:val="Default"/>
    <w:next w:val="Default"/>
    <w:uiPriority w:val="99"/>
    <w:rsid w:val="00B00E3E"/>
    <w:pPr>
      <w:spacing w:line="241" w:lineRule="atLeast"/>
    </w:pPr>
    <w:rPr>
      <w:rFonts w:ascii="Adobe Garamond Pro" w:hAnsi="Adobe Garamond Pro" w:cstheme="minorBidi"/>
      <w:color w:val="auto"/>
    </w:rPr>
  </w:style>
  <w:style w:type="paragraph" w:customStyle="1" w:styleId="Pa17">
    <w:name w:val="Pa17"/>
    <w:basedOn w:val="Default"/>
    <w:next w:val="Default"/>
    <w:uiPriority w:val="99"/>
    <w:rsid w:val="00B00E3E"/>
    <w:pPr>
      <w:spacing w:line="241" w:lineRule="atLeast"/>
    </w:pPr>
    <w:rPr>
      <w:rFonts w:ascii="Adobe Garamond Pro Bold" w:hAnsi="Adobe Garamond Pro Bold" w:cstheme="minorBidi"/>
      <w:color w:val="auto"/>
    </w:rPr>
  </w:style>
  <w:style w:type="paragraph" w:styleId="Testonotaapidipagina">
    <w:name w:val="footnote text"/>
    <w:basedOn w:val="Normale"/>
    <w:link w:val="TestonotaapidipaginaCarattere"/>
    <w:uiPriority w:val="99"/>
    <w:semiHidden/>
    <w:unhideWhenUsed/>
    <w:rsid w:val="00AB7D2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B7D2D"/>
    <w:rPr>
      <w:sz w:val="20"/>
      <w:szCs w:val="20"/>
    </w:rPr>
  </w:style>
  <w:style w:type="character" w:styleId="Rimandonotaapidipagina">
    <w:name w:val="footnote reference"/>
    <w:basedOn w:val="Carpredefinitoparagrafo"/>
    <w:uiPriority w:val="99"/>
    <w:semiHidden/>
    <w:unhideWhenUsed/>
    <w:rsid w:val="00AB7D2D"/>
    <w:rPr>
      <w:vertAlign w:val="superscript"/>
    </w:rPr>
  </w:style>
  <w:style w:type="paragraph" w:styleId="Intestazione">
    <w:name w:val="header"/>
    <w:basedOn w:val="Normale"/>
    <w:link w:val="IntestazioneCarattere"/>
    <w:uiPriority w:val="99"/>
    <w:unhideWhenUsed/>
    <w:rsid w:val="00885F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5F5A"/>
  </w:style>
  <w:style w:type="paragraph" w:styleId="Pidipagina">
    <w:name w:val="footer"/>
    <w:basedOn w:val="Normale"/>
    <w:link w:val="PidipaginaCarattere"/>
    <w:uiPriority w:val="99"/>
    <w:unhideWhenUsed/>
    <w:rsid w:val="00885F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5F5A"/>
  </w:style>
  <w:style w:type="character" w:styleId="Collegamentoipertestuale">
    <w:name w:val="Hyperlink"/>
    <w:basedOn w:val="Carpredefinitoparagrafo"/>
    <w:uiPriority w:val="99"/>
    <w:unhideWhenUsed/>
    <w:rsid w:val="007C04AD"/>
    <w:rPr>
      <w:color w:val="0563C1" w:themeColor="hyperlink"/>
      <w:u w:val="single"/>
    </w:rPr>
  </w:style>
  <w:style w:type="paragraph" w:styleId="Paragrafoelenco">
    <w:name w:val="List Paragraph"/>
    <w:aliases w:val="Elenco puntato,Titolo Paragrafo,Liste GS,Elenco num ARGEA,List Paragraph1,Table of contents numbered,Normal bullet 2,Bullet list,Numbered List,Titolo linee di attività,Testo_tabella,List Paragraph3,Paragraph,Bullet EY,List Paragraph11"/>
    <w:basedOn w:val="Normale"/>
    <w:link w:val="ParagrafoelencoCarattere"/>
    <w:uiPriority w:val="34"/>
    <w:qFormat/>
    <w:rsid w:val="00BD78BB"/>
    <w:pPr>
      <w:ind w:left="720"/>
      <w:contextualSpacing/>
    </w:pPr>
  </w:style>
  <w:style w:type="paragraph" w:styleId="Corpotesto">
    <w:name w:val="Body Text"/>
    <w:basedOn w:val="Normale"/>
    <w:link w:val="CorpotestoCarattere"/>
    <w:uiPriority w:val="1"/>
    <w:qFormat/>
    <w:rsid w:val="00BD78BB"/>
    <w:pPr>
      <w:widowControl w:val="0"/>
      <w:autoSpaceDE w:val="0"/>
      <w:autoSpaceDN w:val="0"/>
      <w:spacing w:after="0" w:line="240" w:lineRule="auto"/>
    </w:pPr>
    <w:rPr>
      <w:rFonts w:ascii="Trebuchet MS" w:eastAsia="Trebuchet MS" w:hAnsi="Trebuchet MS" w:cs="Trebuchet MS"/>
      <w:sz w:val="18"/>
      <w:szCs w:val="18"/>
    </w:rPr>
  </w:style>
  <w:style w:type="character" w:customStyle="1" w:styleId="CorpotestoCarattere">
    <w:name w:val="Corpo testo Carattere"/>
    <w:basedOn w:val="Carpredefinitoparagrafo"/>
    <w:link w:val="Corpotesto"/>
    <w:uiPriority w:val="1"/>
    <w:rsid w:val="00BD78BB"/>
    <w:rPr>
      <w:rFonts w:ascii="Trebuchet MS" w:eastAsia="Trebuchet MS" w:hAnsi="Trebuchet MS" w:cs="Trebuchet MS"/>
      <w:sz w:val="18"/>
      <w:szCs w:val="18"/>
    </w:rPr>
  </w:style>
  <w:style w:type="paragraph" w:styleId="NormaleWeb">
    <w:name w:val="Normal (Web)"/>
    <w:basedOn w:val="Normale"/>
    <w:uiPriority w:val="99"/>
    <w:semiHidden/>
    <w:unhideWhenUsed/>
    <w:rsid w:val="005D066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4575DC"/>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4575DC"/>
    <w:rPr>
      <w:rFonts w:asciiTheme="majorHAnsi" w:eastAsiaTheme="majorEastAsia" w:hAnsiTheme="majorHAnsi" w:cstheme="majorBidi"/>
      <w:color w:val="2F5496" w:themeColor="accent1" w:themeShade="BF"/>
      <w:sz w:val="26"/>
      <w:szCs w:val="26"/>
    </w:rPr>
  </w:style>
  <w:style w:type="paragraph" w:styleId="Titolosommario">
    <w:name w:val="TOC Heading"/>
    <w:basedOn w:val="Titolo1"/>
    <w:next w:val="Normale"/>
    <w:uiPriority w:val="39"/>
    <w:unhideWhenUsed/>
    <w:qFormat/>
    <w:rsid w:val="004575DC"/>
    <w:pPr>
      <w:outlineLvl w:val="9"/>
    </w:pPr>
    <w:rPr>
      <w:lang w:eastAsia="it-IT"/>
    </w:rPr>
  </w:style>
  <w:style w:type="paragraph" w:styleId="Sommario1">
    <w:name w:val="toc 1"/>
    <w:basedOn w:val="Normale"/>
    <w:next w:val="Normale"/>
    <w:autoRedefine/>
    <w:uiPriority w:val="39"/>
    <w:unhideWhenUsed/>
    <w:rsid w:val="004648B7"/>
    <w:pPr>
      <w:tabs>
        <w:tab w:val="right" w:leader="dot" w:pos="9628"/>
      </w:tabs>
      <w:spacing w:after="100"/>
    </w:pPr>
  </w:style>
  <w:style w:type="paragraph" w:styleId="Sommario2">
    <w:name w:val="toc 2"/>
    <w:basedOn w:val="Normale"/>
    <w:next w:val="Normale"/>
    <w:autoRedefine/>
    <w:uiPriority w:val="39"/>
    <w:unhideWhenUsed/>
    <w:rsid w:val="004575DC"/>
    <w:pPr>
      <w:spacing w:after="100"/>
      <w:ind w:left="220"/>
    </w:pPr>
  </w:style>
  <w:style w:type="character" w:styleId="Rimandocommento">
    <w:name w:val="annotation reference"/>
    <w:basedOn w:val="Carpredefinitoparagrafo"/>
    <w:uiPriority w:val="99"/>
    <w:semiHidden/>
    <w:unhideWhenUsed/>
    <w:rsid w:val="00230B33"/>
    <w:rPr>
      <w:sz w:val="16"/>
      <w:szCs w:val="16"/>
    </w:rPr>
  </w:style>
  <w:style w:type="paragraph" w:styleId="Testocommento">
    <w:name w:val="annotation text"/>
    <w:basedOn w:val="Normale"/>
    <w:link w:val="TestocommentoCarattere"/>
    <w:uiPriority w:val="99"/>
    <w:unhideWhenUsed/>
    <w:rsid w:val="00230B33"/>
    <w:pPr>
      <w:spacing w:line="240" w:lineRule="auto"/>
    </w:pPr>
    <w:rPr>
      <w:sz w:val="20"/>
      <w:szCs w:val="20"/>
    </w:rPr>
  </w:style>
  <w:style w:type="character" w:customStyle="1" w:styleId="TestocommentoCarattere">
    <w:name w:val="Testo commento Carattere"/>
    <w:basedOn w:val="Carpredefinitoparagrafo"/>
    <w:link w:val="Testocommento"/>
    <w:uiPriority w:val="99"/>
    <w:rsid w:val="00230B33"/>
    <w:rPr>
      <w:sz w:val="20"/>
      <w:szCs w:val="20"/>
    </w:rPr>
  </w:style>
  <w:style w:type="paragraph" w:styleId="Soggettocommento">
    <w:name w:val="annotation subject"/>
    <w:basedOn w:val="Testocommento"/>
    <w:next w:val="Testocommento"/>
    <w:link w:val="SoggettocommentoCarattere"/>
    <w:uiPriority w:val="99"/>
    <w:semiHidden/>
    <w:unhideWhenUsed/>
    <w:rsid w:val="00230B33"/>
    <w:rPr>
      <w:b/>
      <w:bCs/>
    </w:rPr>
  </w:style>
  <w:style w:type="character" w:customStyle="1" w:styleId="SoggettocommentoCarattere">
    <w:name w:val="Soggetto commento Carattere"/>
    <w:basedOn w:val="TestocommentoCarattere"/>
    <w:link w:val="Soggettocommento"/>
    <w:uiPriority w:val="99"/>
    <w:semiHidden/>
    <w:rsid w:val="00230B33"/>
    <w:rPr>
      <w:b/>
      <w:bCs/>
      <w:sz w:val="20"/>
      <w:szCs w:val="20"/>
    </w:rPr>
  </w:style>
  <w:style w:type="paragraph" w:styleId="Testofumetto">
    <w:name w:val="Balloon Text"/>
    <w:basedOn w:val="Normale"/>
    <w:link w:val="TestofumettoCarattere"/>
    <w:uiPriority w:val="99"/>
    <w:semiHidden/>
    <w:unhideWhenUsed/>
    <w:rsid w:val="00230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0B33"/>
    <w:rPr>
      <w:rFonts w:ascii="Segoe UI" w:hAnsi="Segoe UI" w:cs="Segoe UI"/>
      <w:sz w:val="18"/>
      <w:szCs w:val="18"/>
    </w:rPr>
  </w:style>
  <w:style w:type="character" w:styleId="Menzionenonrisolta">
    <w:name w:val="Unresolved Mention"/>
    <w:basedOn w:val="Carpredefinitoparagrafo"/>
    <w:uiPriority w:val="99"/>
    <w:semiHidden/>
    <w:unhideWhenUsed/>
    <w:rsid w:val="00230B33"/>
    <w:rPr>
      <w:color w:val="605E5C"/>
      <w:shd w:val="clear" w:color="auto" w:fill="E1DFDD"/>
    </w:rPr>
  </w:style>
  <w:style w:type="paragraph" w:styleId="Revisione">
    <w:name w:val="Revision"/>
    <w:hidden/>
    <w:uiPriority w:val="99"/>
    <w:semiHidden/>
    <w:rsid w:val="002330FB"/>
    <w:pPr>
      <w:spacing w:after="0" w:line="240" w:lineRule="auto"/>
    </w:pPr>
  </w:style>
  <w:style w:type="character" w:styleId="Numeropagina">
    <w:name w:val="page number"/>
    <w:basedOn w:val="Carpredefinitoparagrafo"/>
    <w:uiPriority w:val="99"/>
    <w:semiHidden/>
    <w:unhideWhenUsed/>
    <w:rsid w:val="00AC66D6"/>
  </w:style>
  <w:style w:type="table" w:styleId="Grigliatabella">
    <w:name w:val="Table Grid"/>
    <w:basedOn w:val="Tabellanormale"/>
    <w:uiPriority w:val="39"/>
    <w:rsid w:val="0097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17A3F"/>
    <w:pPr>
      <w:widowControl w:val="0"/>
      <w:autoSpaceDE w:val="0"/>
      <w:autoSpaceDN w:val="0"/>
      <w:spacing w:after="0" w:line="240" w:lineRule="auto"/>
      <w:ind w:left="108"/>
      <w:jc w:val="both"/>
    </w:pPr>
    <w:rPr>
      <w:rFonts w:ascii="Arial MT" w:eastAsia="Arial MT" w:hAnsi="Arial MT" w:cs="Arial MT"/>
    </w:rPr>
  </w:style>
  <w:style w:type="character" w:customStyle="1" w:styleId="ParagrafoelencoCarattere">
    <w:name w:val="Paragrafo elenco Carattere"/>
    <w:aliases w:val="Elenco puntato Carattere,Titolo Paragrafo Carattere,Liste GS Carattere,Elenco num ARGEA Carattere,List Paragraph1 Carattere,Table of contents numbered Carattere,Normal bullet 2 Carattere,Bullet list Carattere"/>
    <w:link w:val="Paragrafoelenco"/>
    <w:uiPriority w:val="34"/>
    <w:locked/>
    <w:rsid w:val="00917A3F"/>
  </w:style>
  <w:style w:type="paragraph" w:customStyle="1" w:styleId="paragraph">
    <w:name w:val="paragraph"/>
    <w:basedOn w:val="Normale"/>
    <w:uiPriority w:val="99"/>
    <w:rsid w:val="00EC4FF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184">
      <w:bodyDiv w:val="1"/>
      <w:marLeft w:val="0"/>
      <w:marRight w:val="0"/>
      <w:marTop w:val="0"/>
      <w:marBottom w:val="0"/>
      <w:divBdr>
        <w:top w:val="none" w:sz="0" w:space="0" w:color="auto"/>
        <w:left w:val="none" w:sz="0" w:space="0" w:color="auto"/>
        <w:bottom w:val="none" w:sz="0" w:space="0" w:color="auto"/>
        <w:right w:val="none" w:sz="0" w:space="0" w:color="auto"/>
      </w:divBdr>
    </w:div>
    <w:div w:id="36052043">
      <w:bodyDiv w:val="1"/>
      <w:marLeft w:val="0"/>
      <w:marRight w:val="0"/>
      <w:marTop w:val="0"/>
      <w:marBottom w:val="0"/>
      <w:divBdr>
        <w:top w:val="none" w:sz="0" w:space="0" w:color="auto"/>
        <w:left w:val="none" w:sz="0" w:space="0" w:color="auto"/>
        <w:bottom w:val="none" w:sz="0" w:space="0" w:color="auto"/>
        <w:right w:val="none" w:sz="0" w:space="0" w:color="auto"/>
      </w:divBdr>
    </w:div>
    <w:div w:id="222183353">
      <w:bodyDiv w:val="1"/>
      <w:marLeft w:val="0"/>
      <w:marRight w:val="0"/>
      <w:marTop w:val="0"/>
      <w:marBottom w:val="0"/>
      <w:divBdr>
        <w:top w:val="none" w:sz="0" w:space="0" w:color="auto"/>
        <w:left w:val="none" w:sz="0" w:space="0" w:color="auto"/>
        <w:bottom w:val="none" w:sz="0" w:space="0" w:color="auto"/>
        <w:right w:val="none" w:sz="0" w:space="0" w:color="auto"/>
      </w:divBdr>
    </w:div>
    <w:div w:id="259414392">
      <w:bodyDiv w:val="1"/>
      <w:marLeft w:val="0"/>
      <w:marRight w:val="0"/>
      <w:marTop w:val="0"/>
      <w:marBottom w:val="0"/>
      <w:divBdr>
        <w:top w:val="none" w:sz="0" w:space="0" w:color="auto"/>
        <w:left w:val="none" w:sz="0" w:space="0" w:color="auto"/>
        <w:bottom w:val="none" w:sz="0" w:space="0" w:color="auto"/>
        <w:right w:val="none" w:sz="0" w:space="0" w:color="auto"/>
      </w:divBdr>
    </w:div>
    <w:div w:id="287707290">
      <w:bodyDiv w:val="1"/>
      <w:marLeft w:val="0"/>
      <w:marRight w:val="0"/>
      <w:marTop w:val="0"/>
      <w:marBottom w:val="0"/>
      <w:divBdr>
        <w:top w:val="none" w:sz="0" w:space="0" w:color="auto"/>
        <w:left w:val="none" w:sz="0" w:space="0" w:color="auto"/>
        <w:bottom w:val="none" w:sz="0" w:space="0" w:color="auto"/>
        <w:right w:val="none" w:sz="0" w:space="0" w:color="auto"/>
      </w:divBdr>
    </w:div>
    <w:div w:id="291836635">
      <w:bodyDiv w:val="1"/>
      <w:marLeft w:val="0"/>
      <w:marRight w:val="0"/>
      <w:marTop w:val="0"/>
      <w:marBottom w:val="0"/>
      <w:divBdr>
        <w:top w:val="none" w:sz="0" w:space="0" w:color="auto"/>
        <w:left w:val="none" w:sz="0" w:space="0" w:color="auto"/>
        <w:bottom w:val="none" w:sz="0" w:space="0" w:color="auto"/>
        <w:right w:val="none" w:sz="0" w:space="0" w:color="auto"/>
      </w:divBdr>
      <w:divsChild>
        <w:div w:id="1940287430">
          <w:marLeft w:val="0"/>
          <w:marRight w:val="0"/>
          <w:marTop w:val="0"/>
          <w:marBottom w:val="0"/>
          <w:divBdr>
            <w:top w:val="single" w:sz="2" w:space="0" w:color="E3E3E3"/>
            <w:left w:val="single" w:sz="2" w:space="0" w:color="E3E3E3"/>
            <w:bottom w:val="single" w:sz="2" w:space="0" w:color="E3E3E3"/>
            <w:right w:val="single" w:sz="2" w:space="0" w:color="E3E3E3"/>
          </w:divBdr>
          <w:divsChild>
            <w:div w:id="1102800566">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47435">
                  <w:marLeft w:val="0"/>
                  <w:marRight w:val="0"/>
                  <w:marTop w:val="0"/>
                  <w:marBottom w:val="0"/>
                  <w:divBdr>
                    <w:top w:val="single" w:sz="2" w:space="0" w:color="E3E3E3"/>
                    <w:left w:val="single" w:sz="2" w:space="0" w:color="E3E3E3"/>
                    <w:bottom w:val="single" w:sz="2" w:space="0" w:color="E3E3E3"/>
                    <w:right w:val="single" w:sz="2" w:space="0" w:color="E3E3E3"/>
                  </w:divBdr>
                  <w:divsChild>
                    <w:div w:id="822354750">
                      <w:marLeft w:val="0"/>
                      <w:marRight w:val="0"/>
                      <w:marTop w:val="0"/>
                      <w:marBottom w:val="0"/>
                      <w:divBdr>
                        <w:top w:val="single" w:sz="2" w:space="0" w:color="E3E3E3"/>
                        <w:left w:val="single" w:sz="2" w:space="0" w:color="E3E3E3"/>
                        <w:bottom w:val="single" w:sz="2" w:space="0" w:color="E3E3E3"/>
                        <w:right w:val="single" w:sz="2" w:space="0" w:color="E3E3E3"/>
                      </w:divBdr>
                      <w:divsChild>
                        <w:div w:id="497841965">
                          <w:marLeft w:val="0"/>
                          <w:marRight w:val="0"/>
                          <w:marTop w:val="0"/>
                          <w:marBottom w:val="0"/>
                          <w:divBdr>
                            <w:top w:val="single" w:sz="2" w:space="0" w:color="E3E3E3"/>
                            <w:left w:val="single" w:sz="2" w:space="0" w:color="E3E3E3"/>
                            <w:bottom w:val="single" w:sz="2" w:space="0" w:color="E3E3E3"/>
                            <w:right w:val="single" w:sz="2" w:space="0" w:color="E3E3E3"/>
                          </w:divBdr>
                          <w:divsChild>
                            <w:div w:id="926620905">
                              <w:marLeft w:val="0"/>
                              <w:marRight w:val="0"/>
                              <w:marTop w:val="0"/>
                              <w:marBottom w:val="0"/>
                              <w:divBdr>
                                <w:top w:val="single" w:sz="2" w:space="0" w:color="E3E3E3"/>
                                <w:left w:val="single" w:sz="2" w:space="0" w:color="E3E3E3"/>
                                <w:bottom w:val="single" w:sz="2" w:space="0" w:color="E3E3E3"/>
                                <w:right w:val="single" w:sz="2" w:space="0" w:color="E3E3E3"/>
                              </w:divBdr>
                              <w:divsChild>
                                <w:div w:id="2024352896">
                                  <w:marLeft w:val="0"/>
                                  <w:marRight w:val="0"/>
                                  <w:marTop w:val="0"/>
                                  <w:marBottom w:val="0"/>
                                  <w:divBdr>
                                    <w:top w:val="single" w:sz="2" w:space="0" w:color="E3E3E3"/>
                                    <w:left w:val="single" w:sz="2" w:space="0" w:color="E3E3E3"/>
                                    <w:bottom w:val="single" w:sz="2" w:space="0" w:color="E3E3E3"/>
                                    <w:right w:val="single" w:sz="2" w:space="0" w:color="E3E3E3"/>
                                  </w:divBdr>
                                  <w:divsChild>
                                    <w:div w:id="1852257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5670378">
          <w:marLeft w:val="0"/>
          <w:marRight w:val="0"/>
          <w:marTop w:val="0"/>
          <w:marBottom w:val="0"/>
          <w:divBdr>
            <w:top w:val="single" w:sz="2" w:space="0" w:color="E3E3E3"/>
            <w:left w:val="single" w:sz="2" w:space="0" w:color="E3E3E3"/>
            <w:bottom w:val="single" w:sz="2" w:space="0" w:color="E3E3E3"/>
            <w:right w:val="single" w:sz="2" w:space="0" w:color="E3E3E3"/>
          </w:divBdr>
          <w:divsChild>
            <w:div w:id="327948466">
              <w:marLeft w:val="0"/>
              <w:marRight w:val="0"/>
              <w:marTop w:val="100"/>
              <w:marBottom w:val="100"/>
              <w:divBdr>
                <w:top w:val="single" w:sz="2" w:space="0" w:color="E3E3E3"/>
                <w:left w:val="single" w:sz="2" w:space="0" w:color="E3E3E3"/>
                <w:bottom w:val="single" w:sz="2" w:space="0" w:color="E3E3E3"/>
                <w:right w:val="single" w:sz="2" w:space="0" w:color="E3E3E3"/>
              </w:divBdr>
              <w:divsChild>
                <w:div w:id="319386956">
                  <w:marLeft w:val="0"/>
                  <w:marRight w:val="0"/>
                  <w:marTop w:val="0"/>
                  <w:marBottom w:val="0"/>
                  <w:divBdr>
                    <w:top w:val="single" w:sz="2" w:space="0" w:color="E3E3E3"/>
                    <w:left w:val="single" w:sz="2" w:space="0" w:color="E3E3E3"/>
                    <w:bottom w:val="single" w:sz="2" w:space="0" w:color="E3E3E3"/>
                    <w:right w:val="single" w:sz="2" w:space="0" w:color="E3E3E3"/>
                  </w:divBdr>
                  <w:divsChild>
                    <w:div w:id="1096904673">
                      <w:marLeft w:val="0"/>
                      <w:marRight w:val="0"/>
                      <w:marTop w:val="0"/>
                      <w:marBottom w:val="0"/>
                      <w:divBdr>
                        <w:top w:val="single" w:sz="2" w:space="0" w:color="E3E3E3"/>
                        <w:left w:val="single" w:sz="2" w:space="0" w:color="E3E3E3"/>
                        <w:bottom w:val="single" w:sz="2" w:space="0" w:color="E3E3E3"/>
                        <w:right w:val="single" w:sz="2" w:space="0" w:color="E3E3E3"/>
                      </w:divBdr>
                      <w:divsChild>
                        <w:div w:id="1060862466">
                          <w:marLeft w:val="0"/>
                          <w:marRight w:val="0"/>
                          <w:marTop w:val="0"/>
                          <w:marBottom w:val="0"/>
                          <w:divBdr>
                            <w:top w:val="single" w:sz="2" w:space="0" w:color="E3E3E3"/>
                            <w:left w:val="single" w:sz="2" w:space="0" w:color="E3E3E3"/>
                            <w:bottom w:val="single" w:sz="2" w:space="0" w:color="E3E3E3"/>
                            <w:right w:val="single" w:sz="2" w:space="0" w:color="E3E3E3"/>
                          </w:divBdr>
                          <w:divsChild>
                            <w:div w:id="1450011363">
                              <w:marLeft w:val="0"/>
                              <w:marRight w:val="0"/>
                              <w:marTop w:val="0"/>
                              <w:marBottom w:val="0"/>
                              <w:divBdr>
                                <w:top w:val="single" w:sz="2" w:space="0" w:color="E3E3E3"/>
                                <w:left w:val="single" w:sz="2" w:space="0" w:color="E3E3E3"/>
                                <w:bottom w:val="single" w:sz="2" w:space="0" w:color="E3E3E3"/>
                                <w:right w:val="single" w:sz="2" w:space="0" w:color="E3E3E3"/>
                              </w:divBdr>
                              <w:divsChild>
                                <w:div w:id="1708405209">
                                  <w:marLeft w:val="0"/>
                                  <w:marRight w:val="0"/>
                                  <w:marTop w:val="0"/>
                                  <w:marBottom w:val="0"/>
                                  <w:divBdr>
                                    <w:top w:val="single" w:sz="2" w:space="0" w:color="E3E3E3"/>
                                    <w:left w:val="single" w:sz="2" w:space="0" w:color="E3E3E3"/>
                                    <w:bottom w:val="single" w:sz="2" w:space="0" w:color="E3E3E3"/>
                                    <w:right w:val="single" w:sz="2" w:space="0" w:color="E3E3E3"/>
                                  </w:divBdr>
                                  <w:divsChild>
                                    <w:div w:id="743406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1427284">
                      <w:marLeft w:val="0"/>
                      <w:marRight w:val="0"/>
                      <w:marTop w:val="0"/>
                      <w:marBottom w:val="0"/>
                      <w:divBdr>
                        <w:top w:val="single" w:sz="2" w:space="0" w:color="E3E3E3"/>
                        <w:left w:val="single" w:sz="2" w:space="0" w:color="E3E3E3"/>
                        <w:bottom w:val="single" w:sz="2" w:space="0" w:color="E3E3E3"/>
                        <w:right w:val="single" w:sz="2" w:space="0" w:color="E3E3E3"/>
                      </w:divBdr>
                      <w:divsChild>
                        <w:div w:id="862742147">
                          <w:marLeft w:val="0"/>
                          <w:marRight w:val="0"/>
                          <w:marTop w:val="0"/>
                          <w:marBottom w:val="0"/>
                          <w:divBdr>
                            <w:top w:val="single" w:sz="2" w:space="0" w:color="E3E3E3"/>
                            <w:left w:val="single" w:sz="2" w:space="0" w:color="E3E3E3"/>
                            <w:bottom w:val="single" w:sz="2" w:space="0" w:color="E3E3E3"/>
                            <w:right w:val="single" w:sz="2" w:space="0" w:color="E3E3E3"/>
                          </w:divBdr>
                        </w:div>
                        <w:div w:id="1782263518">
                          <w:marLeft w:val="0"/>
                          <w:marRight w:val="0"/>
                          <w:marTop w:val="0"/>
                          <w:marBottom w:val="0"/>
                          <w:divBdr>
                            <w:top w:val="single" w:sz="2" w:space="0" w:color="E3E3E3"/>
                            <w:left w:val="single" w:sz="2" w:space="0" w:color="E3E3E3"/>
                            <w:bottom w:val="single" w:sz="2" w:space="0" w:color="E3E3E3"/>
                            <w:right w:val="single" w:sz="2" w:space="0" w:color="E3E3E3"/>
                          </w:divBdr>
                          <w:divsChild>
                            <w:div w:id="1836919006">
                              <w:marLeft w:val="0"/>
                              <w:marRight w:val="0"/>
                              <w:marTop w:val="0"/>
                              <w:marBottom w:val="0"/>
                              <w:divBdr>
                                <w:top w:val="single" w:sz="2" w:space="0" w:color="E3E3E3"/>
                                <w:left w:val="single" w:sz="2" w:space="0" w:color="E3E3E3"/>
                                <w:bottom w:val="single" w:sz="2" w:space="0" w:color="E3E3E3"/>
                                <w:right w:val="single" w:sz="2" w:space="0" w:color="E3E3E3"/>
                              </w:divBdr>
                              <w:divsChild>
                                <w:div w:id="541404269">
                                  <w:marLeft w:val="0"/>
                                  <w:marRight w:val="0"/>
                                  <w:marTop w:val="0"/>
                                  <w:marBottom w:val="0"/>
                                  <w:divBdr>
                                    <w:top w:val="single" w:sz="2" w:space="0" w:color="E3E3E3"/>
                                    <w:left w:val="single" w:sz="2" w:space="0" w:color="E3E3E3"/>
                                    <w:bottom w:val="single" w:sz="2" w:space="0" w:color="E3E3E3"/>
                                    <w:right w:val="single" w:sz="2" w:space="0" w:color="E3E3E3"/>
                                  </w:divBdr>
                                  <w:divsChild>
                                    <w:div w:id="1290672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3092903">
      <w:bodyDiv w:val="1"/>
      <w:marLeft w:val="0"/>
      <w:marRight w:val="0"/>
      <w:marTop w:val="0"/>
      <w:marBottom w:val="0"/>
      <w:divBdr>
        <w:top w:val="none" w:sz="0" w:space="0" w:color="auto"/>
        <w:left w:val="none" w:sz="0" w:space="0" w:color="auto"/>
        <w:bottom w:val="none" w:sz="0" w:space="0" w:color="auto"/>
        <w:right w:val="none" w:sz="0" w:space="0" w:color="auto"/>
      </w:divBdr>
    </w:div>
    <w:div w:id="434249376">
      <w:bodyDiv w:val="1"/>
      <w:marLeft w:val="0"/>
      <w:marRight w:val="0"/>
      <w:marTop w:val="0"/>
      <w:marBottom w:val="0"/>
      <w:divBdr>
        <w:top w:val="none" w:sz="0" w:space="0" w:color="auto"/>
        <w:left w:val="none" w:sz="0" w:space="0" w:color="auto"/>
        <w:bottom w:val="none" w:sz="0" w:space="0" w:color="auto"/>
        <w:right w:val="none" w:sz="0" w:space="0" w:color="auto"/>
      </w:divBdr>
    </w:div>
    <w:div w:id="497581919">
      <w:bodyDiv w:val="1"/>
      <w:marLeft w:val="0"/>
      <w:marRight w:val="0"/>
      <w:marTop w:val="0"/>
      <w:marBottom w:val="0"/>
      <w:divBdr>
        <w:top w:val="none" w:sz="0" w:space="0" w:color="auto"/>
        <w:left w:val="none" w:sz="0" w:space="0" w:color="auto"/>
        <w:bottom w:val="none" w:sz="0" w:space="0" w:color="auto"/>
        <w:right w:val="none" w:sz="0" w:space="0" w:color="auto"/>
      </w:divBdr>
    </w:div>
    <w:div w:id="790587461">
      <w:bodyDiv w:val="1"/>
      <w:marLeft w:val="0"/>
      <w:marRight w:val="0"/>
      <w:marTop w:val="0"/>
      <w:marBottom w:val="0"/>
      <w:divBdr>
        <w:top w:val="none" w:sz="0" w:space="0" w:color="auto"/>
        <w:left w:val="none" w:sz="0" w:space="0" w:color="auto"/>
        <w:bottom w:val="none" w:sz="0" w:space="0" w:color="auto"/>
        <w:right w:val="none" w:sz="0" w:space="0" w:color="auto"/>
      </w:divBdr>
    </w:div>
    <w:div w:id="790708960">
      <w:bodyDiv w:val="1"/>
      <w:marLeft w:val="0"/>
      <w:marRight w:val="0"/>
      <w:marTop w:val="0"/>
      <w:marBottom w:val="0"/>
      <w:divBdr>
        <w:top w:val="none" w:sz="0" w:space="0" w:color="auto"/>
        <w:left w:val="none" w:sz="0" w:space="0" w:color="auto"/>
        <w:bottom w:val="none" w:sz="0" w:space="0" w:color="auto"/>
        <w:right w:val="none" w:sz="0" w:space="0" w:color="auto"/>
      </w:divBdr>
    </w:div>
    <w:div w:id="799685575">
      <w:bodyDiv w:val="1"/>
      <w:marLeft w:val="0"/>
      <w:marRight w:val="0"/>
      <w:marTop w:val="0"/>
      <w:marBottom w:val="0"/>
      <w:divBdr>
        <w:top w:val="none" w:sz="0" w:space="0" w:color="auto"/>
        <w:left w:val="none" w:sz="0" w:space="0" w:color="auto"/>
        <w:bottom w:val="none" w:sz="0" w:space="0" w:color="auto"/>
        <w:right w:val="none" w:sz="0" w:space="0" w:color="auto"/>
      </w:divBdr>
    </w:div>
    <w:div w:id="837774799">
      <w:bodyDiv w:val="1"/>
      <w:marLeft w:val="0"/>
      <w:marRight w:val="0"/>
      <w:marTop w:val="0"/>
      <w:marBottom w:val="0"/>
      <w:divBdr>
        <w:top w:val="none" w:sz="0" w:space="0" w:color="auto"/>
        <w:left w:val="none" w:sz="0" w:space="0" w:color="auto"/>
        <w:bottom w:val="none" w:sz="0" w:space="0" w:color="auto"/>
        <w:right w:val="none" w:sz="0" w:space="0" w:color="auto"/>
      </w:divBdr>
    </w:div>
    <w:div w:id="919370232">
      <w:bodyDiv w:val="1"/>
      <w:marLeft w:val="0"/>
      <w:marRight w:val="0"/>
      <w:marTop w:val="0"/>
      <w:marBottom w:val="0"/>
      <w:divBdr>
        <w:top w:val="none" w:sz="0" w:space="0" w:color="auto"/>
        <w:left w:val="none" w:sz="0" w:space="0" w:color="auto"/>
        <w:bottom w:val="none" w:sz="0" w:space="0" w:color="auto"/>
        <w:right w:val="none" w:sz="0" w:space="0" w:color="auto"/>
      </w:divBdr>
    </w:div>
    <w:div w:id="1028750459">
      <w:bodyDiv w:val="1"/>
      <w:marLeft w:val="0"/>
      <w:marRight w:val="0"/>
      <w:marTop w:val="0"/>
      <w:marBottom w:val="0"/>
      <w:divBdr>
        <w:top w:val="none" w:sz="0" w:space="0" w:color="auto"/>
        <w:left w:val="none" w:sz="0" w:space="0" w:color="auto"/>
        <w:bottom w:val="none" w:sz="0" w:space="0" w:color="auto"/>
        <w:right w:val="none" w:sz="0" w:space="0" w:color="auto"/>
      </w:divBdr>
    </w:div>
    <w:div w:id="1112826634">
      <w:bodyDiv w:val="1"/>
      <w:marLeft w:val="0"/>
      <w:marRight w:val="0"/>
      <w:marTop w:val="0"/>
      <w:marBottom w:val="0"/>
      <w:divBdr>
        <w:top w:val="none" w:sz="0" w:space="0" w:color="auto"/>
        <w:left w:val="none" w:sz="0" w:space="0" w:color="auto"/>
        <w:bottom w:val="none" w:sz="0" w:space="0" w:color="auto"/>
        <w:right w:val="none" w:sz="0" w:space="0" w:color="auto"/>
      </w:divBdr>
    </w:div>
    <w:div w:id="1262103694">
      <w:bodyDiv w:val="1"/>
      <w:marLeft w:val="0"/>
      <w:marRight w:val="0"/>
      <w:marTop w:val="0"/>
      <w:marBottom w:val="0"/>
      <w:divBdr>
        <w:top w:val="none" w:sz="0" w:space="0" w:color="auto"/>
        <w:left w:val="none" w:sz="0" w:space="0" w:color="auto"/>
        <w:bottom w:val="none" w:sz="0" w:space="0" w:color="auto"/>
        <w:right w:val="none" w:sz="0" w:space="0" w:color="auto"/>
      </w:divBdr>
    </w:div>
    <w:div w:id="1320580133">
      <w:bodyDiv w:val="1"/>
      <w:marLeft w:val="0"/>
      <w:marRight w:val="0"/>
      <w:marTop w:val="0"/>
      <w:marBottom w:val="0"/>
      <w:divBdr>
        <w:top w:val="none" w:sz="0" w:space="0" w:color="auto"/>
        <w:left w:val="none" w:sz="0" w:space="0" w:color="auto"/>
        <w:bottom w:val="none" w:sz="0" w:space="0" w:color="auto"/>
        <w:right w:val="none" w:sz="0" w:space="0" w:color="auto"/>
      </w:divBdr>
    </w:div>
    <w:div w:id="1335452157">
      <w:bodyDiv w:val="1"/>
      <w:marLeft w:val="0"/>
      <w:marRight w:val="0"/>
      <w:marTop w:val="0"/>
      <w:marBottom w:val="0"/>
      <w:divBdr>
        <w:top w:val="none" w:sz="0" w:space="0" w:color="auto"/>
        <w:left w:val="none" w:sz="0" w:space="0" w:color="auto"/>
        <w:bottom w:val="none" w:sz="0" w:space="0" w:color="auto"/>
        <w:right w:val="none" w:sz="0" w:space="0" w:color="auto"/>
      </w:divBdr>
    </w:div>
    <w:div w:id="1397123271">
      <w:bodyDiv w:val="1"/>
      <w:marLeft w:val="0"/>
      <w:marRight w:val="0"/>
      <w:marTop w:val="0"/>
      <w:marBottom w:val="0"/>
      <w:divBdr>
        <w:top w:val="none" w:sz="0" w:space="0" w:color="auto"/>
        <w:left w:val="none" w:sz="0" w:space="0" w:color="auto"/>
        <w:bottom w:val="none" w:sz="0" w:space="0" w:color="auto"/>
        <w:right w:val="none" w:sz="0" w:space="0" w:color="auto"/>
      </w:divBdr>
    </w:div>
    <w:div w:id="1445344402">
      <w:bodyDiv w:val="1"/>
      <w:marLeft w:val="0"/>
      <w:marRight w:val="0"/>
      <w:marTop w:val="0"/>
      <w:marBottom w:val="0"/>
      <w:divBdr>
        <w:top w:val="none" w:sz="0" w:space="0" w:color="auto"/>
        <w:left w:val="none" w:sz="0" w:space="0" w:color="auto"/>
        <w:bottom w:val="none" w:sz="0" w:space="0" w:color="auto"/>
        <w:right w:val="none" w:sz="0" w:space="0" w:color="auto"/>
      </w:divBdr>
    </w:div>
    <w:div w:id="1533108888">
      <w:bodyDiv w:val="1"/>
      <w:marLeft w:val="0"/>
      <w:marRight w:val="0"/>
      <w:marTop w:val="0"/>
      <w:marBottom w:val="0"/>
      <w:divBdr>
        <w:top w:val="none" w:sz="0" w:space="0" w:color="auto"/>
        <w:left w:val="none" w:sz="0" w:space="0" w:color="auto"/>
        <w:bottom w:val="none" w:sz="0" w:space="0" w:color="auto"/>
        <w:right w:val="none" w:sz="0" w:space="0" w:color="auto"/>
      </w:divBdr>
    </w:div>
    <w:div w:id="1592616047">
      <w:bodyDiv w:val="1"/>
      <w:marLeft w:val="0"/>
      <w:marRight w:val="0"/>
      <w:marTop w:val="0"/>
      <w:marBottom w:val="0"/>
      <w:divBdr>
        <w:top w:val="none" w:sz="0" w:space="0" w:color="auto"/>
        <w:left w:val="none" w:sz="0" w:space="0" w:color="auto"/>
        <w:bottom w:val="none" w:sz="0" w:space="0" w:color="auto"/>
        <w:right w:val="none" w:sz="0" w:space="0" w:color="auto"/>
      </w:divBdr>
    </w:div>
    <w:div w:id="1796605829">
      <w:bodyDiv w:val="1"/>
      <w:marLeft w:val="0"/>
      <w:marRight w:val="0"/>
      <w:marTop w:val="0"/>
      <w:marBottom w:val="0"/>
      <w:divBdr>
        <w:top w:val="none" w:sz="0" w:space="0" w:color="auto"/>
        <w:left w:val="none" w:sz="0" w:space="0" w:color="auto"/>
        <w:bottom w:val="none" w:sz="0" w:space="0" w:color="auto"/>
        <w:right w:val="none" w:sz="0" w:space="0" w:color="auto"/>
      </w:divBdr>
    </w:div>
    <w:div w:id="1836913475">
      <w:bodyDiv w:val="1"/>
      <w:marLeft w:val="0"/>
      <w:marRight w:val="0"/>
      <w:marTop w:val="0"/>
      <w:marBottom w:val="0"/>
      <w:divBdr>
        <w:top w:val="none" w:sz="0" w:space="0" w:color="auto"/>
        <w:left w:val="none" w:sz="0" w:space="0" w:color="auto"/>
        <w:bottom w:val="none" w:sz="0" w:space="0" w:color="auto"/>
        <w:right w:val="none" w:sz="0" w:space="0" w:color="auto"/>
      </w:divBdr>
    </w:div>
    <w:div w:id="1982267683">
      <w:bodyDiv w:val="1"/>
      <w:marLeft w:val="0"/>
      <w:marRight w:val="0"/>
      <w:marTop w:val="0"/>
      <w:marBottom w:val="0"/>
      <w:divBdr>
        <w:top w:val="none" w:sz="0" w:space="0" w:color="auto"/>
        <w:left w:val="none" w:sz="0" w:space="0" w:color="auto"/>
        <w:bottom w:val="none" w:sz="0" w:space="0" w:color="auto"/>
        <w:right w:val="none" w:sz="0" w:space="0" w:color="auto"/>
      </w:divBdr>
    </w:div>
    <w:div w:id="2050184449">
      <w:bodyDiv w:val="1"/>
      <w:marLeft w:val="0"/>
      <w:marRight w:val="0"/>
      <w:marTop w:val="0"/>
      <w:marBottom w:val="0"/>
      <w:divBdr>
        <w:top w:val="none" w:sz="0" w:space="0" w:color="auto"/>
        <w:left w:val="none" w:sz="0" w:space="0" w:color="auto"/>
        <w:bottom w:val="none" w:sz="0" w:space="0" w:color="auto"/>
        <w:right w:val="none" w:sz="0" w:space="0" w:color="auto"/>
      </w:divBdr>
    </w:div>
    <w:div w:id="2102989155">
      <w:bodyDiv w:val="1"/>
      <w:marLeft w:val="0"/>
      <w:marRight w:val="0"/>
      <w:marTop w:val="0"/>
      <w:marBottom w:val="0"/>
      <w:divBdr>
        <w:top w:val="none" w:sz="0" w:space="0" w:color="auto"/>
        <w:left w:val="none" w:sz="0" w:space="0" w:color="auto"/>
        <w:bottom w:val="none" w:sz="0" w:space="0" w:color="auto"/>
        <w:right w:val="none" w:sz="0" w:space="0" w:color="auto"/>
      </w:divBdr>
    </w:div>
    <w:div w:id="2139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regione.marche.it/Entra-in-Regione/Bandi-e-opportunita/Bandi-scaduti?idb=5251" TargetMode="External"/><Relationship Id="rId1" Type="http://schemas.openxmlformats.org/officeDocument/2006/relationships/hyperlink" Target="https://www.mimit.gov.it/it/transizione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0047-4D23-4B78-A2E8-51701A91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18</Pages>
  <Words>8163</Words>
  <Characters>46531</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54585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Possanza</dc:creator>
  <cp:keywords/>
  <dc:description/>
  <cp:lastModifiedBy>Giorgio Tangherlini</cp:lastModifiedBy>
  <cp:revision>11</cp:revision>
  <cp:lastPrinted>2024-06-24T12:42:00Z</cp:lastPrinted>
  <dcterms:created xsi:type="dcterms:W3CDTF">2025-03-04T14:22:00Z</dcterms:created>
  <dcterms:modified xsi:type="dcterms:W3CDTF">2025-03-06T09:22:00Z</dcterms:modified>
</cp:coreProperties>
</file>