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B176" w14:textId="1DB358A4" w:rsidR="00F4277E" w:rsidRDefault="00F4277E" w:rsidP="00F4277E">
      <w:pPr>
        <w:jc w:val="right"/>
        <w:rPr>
          <w:rFonts w:ascii="Arial" w:hAnsi="Arial" w:cs="Arial"/>
          <w:b/>
          <w:bCs/>
          <w:sz w:val="22"/>
          <w:szCs w:val="22"/>
        </w:rPr>
      </w:pPr>
      <w:r>
        <w:rPr>
          <w:rFonts w:ascii="Arial" w:hAnsi="Arial" w:cs="Arial"/>
          <w:b/>
          <w:bCs/>
          <w:smallCaps/>
          <w:sz w:val="22"/>
          <w:szCs w:val="22"/>
        </w:rPr>
        <w:t>A</w:t>
      </w:r>
      <w:r w:rsidR="00AD388D">
        <w:rPr>
          <w:rFonts w:ascii="Arial" w:hAnsi="Arial" w:cs="Arial"/>
          <w:b/>
          <w:bCs/>
          <w:smallCaps/>
          <w:sz w:val="22"/>
          <w:szCs w:val="22"/>
        </w:rPr>
        <w:t>LLEGATO</w:t>
      </w:r>
      <w:r>
        <w:rPr>
          <w:rFonts w:ascii="Arial" w:hAnsi="Arial" w:cs="Arial"/>
          <w:b/>
          <w:bCs/>
          <w:sz w:val="22"/>
          <w:szCs w:val="22"/>
        </w:rPr>
        <w:t xml:space="preserve"> “</w:t>
      </w:r>
      <w:r w:rsidR="00BB368F">
        <w:rPr>
          <w:rFonts w:ascii="Arial" w:hAnsi="Arial" w:cs="Arial"/>
          <w:b/>
          <w:bCs/>
          <w:sz w:val="22"/>
          <w:szCs w:val="22"/>
        </w:rPr>
        <w:t>A</w:t>
      </w:r>
      <w:r w:rsidR="00D019EA">
        <w:rPr>
          <w:rFonts w:ascii="Arial" w:hAnsi="Arial" w:cs="Arial"/>
          <w:b/>
          <w:bCs/>
          <w:sz w:val="22"/>
          <w:szCs w:val="22"/>
        </w:rPr>
        <w:t>6</w:t>
      </w:r>
      <w:r>
        <w:rPr>
          <w:rFonts w:ascii="Arial" w:hAnsi="Arial" w:cs="Arial"/>
          <w:b/>
          <w:bCs/>
          <w:sz w:val="22"/>
          <w:szCs w:val="22"/>
        </w:rPr>
        <w:t>”</w:t>
      </w:r>
    </w:p>
    <w:p w14:paraId="02AAD782" w14:textId="77777777" w:rsidR="00F4277E" w:rsidRDefault="00F4277E" w:rsidP="00F4277E">
      <w:pPr>
        <w:spacing w:line="100" w:lineRule="atLeast"/>
        <w:ind w:right="142"/>
        <w:jc w:val="center"/>
        <w:rPr>
          <w:rFonts w:ascii="Arial" w:hAnsi="Arial" w:cs="Arial"/>
          <w:sz w:val="22"/>
          <w:szCs w:val="22"/>
        </w:rPr>
      </w:pPr>
    </w:p>
    <w:p w14:paraId="6F1A4F52" w14:textId="77777777"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ISTRUZIONI PER LE IMPRESE PER LA COMPILAZIONE DEL</w:t>
      </w:r>
    </w:p>
    <w:p w14:paraId="5F61E65D" w14:textId="77777777"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 xml:space="preserve"> “DE MINIMIS”</w:t>
      </w:r>
    </w:p>
    <w:p w14:paraId="49CF6C01" w14:textId="77777777" w:rsidR="00F4277E" w:rsidRDefault="00F4277E" w:rsidP="00F4277E">
      <w:pPr>
        <w:spacing w:line="100" w:lineRule="atLeast"/>
        <w:ind w:right="142"/>
        <w:jc w:val="center"/>
        <w:rPr>
          <w:rFonts w:ascii="Arial" w:hAnsi="Arial" w:cs="Arial"/>
          <w:b/>
          <w:bCs/>
          <w:sz w:val="22"/>
          <w:szCs w:val="22"/>
        </w:rPr>
      </w:pPr>
    </w:p>
    <w:p w14:paraId="0C3219AB" w14:textId="77777777" w:rsidR="00EC325F"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Il legale rappresentante di ogni impresa candidata a ricevere un aiuto in regime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è tenuto a sottoscrivere una dichiarazione – rilasciata ai sensi dell’art. 47 del DPR 445/2000 – che attesti l’ammontare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w:t>
      </w:r>
      <w:r w:rsidR="00EC325F" w:rsidRPr="00EC325F">
        <w:rPr>
          <w:rFonts w:ascii="Arial" w:hAnsi="Arial" w:cs="Arial"/>
          <w:sz w:val="22"/>
          <w:szCs w:val="22"/>
        </w:rPr>
        <w:t>nei 36 mesi precedenti</w:t>
      </w:r>
      <w:r w:rsidR="00EC325F">
        <w:rPr>
          <w:rFonts w:ascii="Arial" w:hAnsi="Arial" w:cs="Arial"/>
          <w:sz w:val="22"/>
          <w:szCs w:val="22"/>
        </w:rPr>
        <w:t xml:space="preserve">. </w:t>
      </w:r>
    </w:p>
    <w:p w14:paraId="0881FBC3" w14:textId="09FC3D9F"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Il nuovo aiuto potrà essere concesso solo se, sommato a quelli già ottenuti nei</w:t>
      </w:r>
      <w:bookmarkStart w:id="0" w:name="_GoBack"/>
      <w:bookmarkEnd w:id="0"/>
      <w:r w:rsidR="00EC325F" w:rsidRPr="00EC325F">
        <w:rPr>
          <w:rFonts w:ascii="Arial" w:hAnsi="Arial" w:cs="Arial"/>
          <w:sz w:val="22"/>
          <w:szCs w:val="22"/>
        </w:rPr>
        <w:t xml:space="preserve"> 36 mesi precedenti </w:t>
      </w:r>
      <w:r w:rsidRPr="00C25A36">
        <w:rPr>
          <w:rFonts w:ascii="Arial" w:hAnsi="Arial" w:cs="Arial"/>
          <w:sz w:val="22"/>
          <w:szCs w:val="22"/>
        </w:rPr>
        <w:t xml:space="preserve">suddetti, non superi i massimali stabiliti da ogni Regolamento di riferimento. </w:t>
      </w:r>
    </w:p>
    <w:p w14:paraId="7DA428E0"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Poiché il momento rilevante per la verifica dell’ammissibilità è quello in cui avviene la concessione (il momento in cui sorge il diritto all’agevolazione), la dichiarazione dovrà essere confermata – o aggiornata – con riferimento al momento della concessione.</w:t>
      </w:r>
    </w:p>
    <w:p w14:paraId="1DC10CB1"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Si ricorda che se con la concessione Y fosse superato il massimale previsto, l’impresa perderebbe il diritto non all’importo in eccedenza, ma all’intero importo dell’aiuto oggetto della concessione Y in conseguenza del quale tale massimale è stato superato.</w:t>
      </w:r>
    </w:p>
    <w:p w14:paraId="1210AAC2" w14:textId="77777777" w:rsidR="00F4277E" w:rsidRPr="00C25A36" w:rsidRDefault="00F4277E" w:rsidP="00C25A36">
      <w:pPr>
        <w:spacing w:after="120" w:line="100" w:lineRule="atLeast"/>
        <w:jc w:val="both"/>
        <w:rPr>
          <w:rFonts w:ascii="Arial" w:hAnsi="Arial" w:cs="Arial"/>
          <w:sz w:val="22"/>
          <w:szCs w:val="22"/>
        </w:rPr>
      </w:pPr>
    </w:p>
    <w:p w14:paraId="2473A0C1"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A: </w:t>
      </w:r>
      <w:r w:rsidRPr="00C25A36">
        <w:rPr>
          <w:rFonts w:ascii="Arial" w:hAnsi="Arial" w:cs="Arial"/>
          <w:b/>
          <w:bCs/>
          <w:sz w:val="22"/>
          <w:szCs w:val="22"/>
        </w:rPr>
        <w:tab/>
        <w:t>Come individuare il beneficiario – Il concetto di “controllo” e l’impresa unica.</w:t>
      </w:r>
    </w:p>
    <w:p w14:paraId="02EAE282" w14:textId="77777777" w:rsidR="00F4277E" w:rsidRPr="00C25A36" w:rsidRDefault="00F4277E" w:rsidP="00C25A36">
      <w:pPr>
        <w:spacing w:after="120" w:line="100" w:lineRule="atLeast"/>
        <w:jc w:val="both"/>
        <w:rPr>
          <w:rFonts w:ascii="Arial" w:hAnsi="Arial" w:cs="Arial"/>
          <w:sz w:val="22"/>
          <w:szCs w:val="22"/>
        </w:rPr>
      </w:pPr>
    </w:p>
    <w:p w14:paraId="08005944" w14:textId="5C715195"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Le regole europee stabiliscono che, ai fini della verifica del rispetto dei massimali, “le entità controllate (di diritto o di fatto) dalla stessa entità debbano essere considerate come un’unica impresa beneficiaria”. Ne consegue che nel rilasciare la dichiarazione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si dovrà tener conto degli aiuti ottenuti nel triennio di riferimento 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106D367D"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Il rapporto di collegamento (controllo) può essere anche indiretto, cioè può sussistere anche per il tramite di un’impresa terza.</w:t>
      </w:r>
    </w:p>
    <w:p w14:paraId="48D00708" w14:textId="77777777" w:rsidR="00F4277E" w:rsidRPr="00C25A36" w:rsidRDefault="00F4277E" w:rsidP="00C25A36">
      <w:pPr>
        <w:spacing w:after="120" w:line="100" w:lineRule="atLeast"/>
        <w:jc w:val="both"/>
        <w:rPr>
          <w:rFonts w:ascii="Arial" w:hAnsi="Arial" w:cs="Arial"/>
          <w:sz w:val="22"/>
          <w:szCs w:val="22"/>
        </w:rPr>
      </w:pPr>
    </w:p>
    <w:tbl>
      <w:tblPr>
        <w:tblW w:w="9639" w:type="dxa"/>
        <w:tblInd w:w="-5" w:type="dxa"/>
        <w:tblLayout w:type="fixed"/>
        <w:tblCellMar>
          <w:left w:w="70" w:type="dxa"/>
          <w:right w:w="70" w:type="dxa"/>
        </w:tblCellMar>
        <w:tblLook w:val="0000" w:firstRow="0" w:lastRow="0" w:firstColumn="0" w:lastColumn="0" w:noHBand="0" w:noVBand="0"/>
      </w:tblPr>
      <w:tblGrid>
        <w:gridCol w:w="9639"/>
      </w:tblGrid>
      <w:tr w:rsidR="00F4277E" w:rsidRPr="00C25A36" w14:paraId="6C0BD759" w14:textId="77777777" w:rsidTr="00C13D22">
        <w:tc>
          <w:tcPr>
            <w:tcW w:w="9639" w:type="dxa"/>
            <w:tcBorders>
              <w:top w:val="single" w:sz="4" w:space="0" w:color="000000"/>
              <w:left w:val="single" w:sz="4" w:space="0" w:color="000000"/>
              <w:bottom w:val="single" w:sz="4" w:space="0" w:color="000000"/>
              <w:right w:val="single" w:sz="4" w:space="0" w:color="000000"/>
            </w:tcBorders>
          </w:tcPr>
          <w:p w14:paraId="6FAAA03F" w14:textId="20A6C2DF"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Art. 2, par. 2 Regolamento n. </w:t>
            </w:r>
            <w:r w:rsidR="00093AD4">
              <w:rPr>
                <w:rFonts w:ascii="Arial" w:hAnsi="Arial" w:cs="Arial"/>
                <w:sz w:val="22"/>
                <w:szCs w:val="22"/>
              </w:rPr>
              <w:t>2831</w:t>
            </w:r>
            <w:r w:rsidRPr="00C25A36">
              <w:rPr>
                <w:rFonts w:ascii="Arial" w:hAnsi="Arial" w:cs="Arial"/>
                <w:sz w:val="22"/>
                <w:szCs w:val="22"/>
              </w:rPr>
              <w:t>/20</w:t>
            </w:r>
            <w:r w:rsidR="00093AD4">
              <w:rPr>
                <w:rFonts w:ascii="Arial" w:hAnsi="Arial" w:cs="Arial"/>
                <w:sz w:val="22"/>
                <w:szCs w:val="22"/>
              </w:rPr>
              <w:t>23</w:t>
            </w:r>
            <w:r w:rsidRPr="00C25A36">
              <w:rPr>
                <w:rFonts w:ascii="Arial" w:hAnsi="Arial" w:cs="Arial"/>
                <w:sz w:val="22"/>
                <w:szCs w:val="22"/>
              </w:rPr>
              <w:t>/UE</w:t>
            </w:r>
          </w:p>
          <w:p w14:paraId="7FD28D6A" w14:textId="77777777" w:rsidR="00F4277E" w:rsidRPr="00C25A36" w:rsidRDefault="00F4277E" w:rsidP="00C25A36">
            <w:pPr>
              <w:spacing w:after="120" w:line="100" w:lineRule="atLeast"/>
              <w:jc w:val="both"/>
              <w:rPr>
                <w:rFonts w:ascii="Arial" w:hAnsi="Arial" w:cs="Arial"/>
                <w:sz w:val="22"/>
                <w:szCs w:val="22"/>
              </w:rPr>
            </w:pPr>
          </w:p>
          <w:p w14:paraId="4B88178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Ai fini del presente regolamento, s'intende per «impresa unica» l’insieme delle imprese fra le quali esiste almeno una delle relazioni seguenti:</w:t>
            </w:r>
          </w:p>
          <w:p w14:paraId="3EFAEE1B"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  un’impresa detiene la maggioranza dei diritti di voto degli azionisti o soci di un’altra impresa;</w:t>
            </w:r>
          </w:p>
          <w:p w14:paraId="3B8D62C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b) un’impresa ha il diritto di nominare o revocare la maggioranza dei membri del consiglio di amministrazione, direzione o sorveglianza di un’altra impresa;</w:t>
            </w:r>
          </w:p>
          <w:p w14:paraId="3A12D4B1"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c) un’impresa ha il diritto di esercitare un’influenza dominante su un’altra impresa in virtù di un contratto concluso con quest’ultima oppure in virtù di una clausola dello statuto di quest’ultima;</w:t>
            </w:r>
          </w:p>
          <w:p w14:paraId="7F765BD2"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d) un’impresa azionista o socia di un’altra impresa controlla da sola, in virtù di un accordo stipulato con altri azionisti o soci dell’altra impresa, la maggioranza dei diritti di voto degli azionisti o soci di quest’ultima.</w:t>
            </w:r>
          </w:p>
          <w:p w14:paraId="7AAD791A"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Le imprese fra le quali intercorre una delle relazioni di cui al primo comma, lettere da a) a d), per il tramite di una o più altre imprese sono anch’esse considerate un’impresa unica.</w:t>
            </w:r>
          </w:p>
        </w:tc>
      </w:tr>
    </w:tbl>
    <w:p w14:paraId="1D5169BF" w14:textId="77777777" w:rsidR="00F4277E" w:rsidRPr="00C25A36" w:rsidRDefault="00F4277E" w:rsidP="00C25A36">
      <w:pPr>
        <w:spacing w:after="120" w:line="100" w:lineRule="atLeast"/>
        <w:jc w:val="both"/>
        <w:rPr>
          <w:rFonts w:ascii="Arial" w:hAnsi="Arial" w:cs="Arial"/>
          <w:sz w:val="22"/>
          <w:szCs w:val="22"/>
        </w:rPr>
      </w:pPr>
    </w:p>
    <w:p w14:paraId="575273F7" w14:textId="77777777" w:rsidR="00F4277E" w:rsidRPr="00C25A36" w:rsidRDefault="00F4277E" w:rsidP="00C25A36">
      <w:pPr>
        <w:spacing w:after="120" w:line="100" w:lineRule="atLeast"/>
        <w:jc w:val="both"/>
        <w:rPr>
          <w:rFonts w:ascii="Arial" w:hAnsi="Arial" w:cs="Arial"/>
          <w:sz w:val="22"/>
          <w:szCs w:val="22"/>
        </w:rPr>
      </w:pPr>
    </w:p>
    <w:p w14:paraId="1137B1AF" w14:textId="00882B75" w:rsidR="00F4277E" w:rsidRDefault="00F4277E" w:rsidP="00C25A36">
      <w:pPr>
        <w:spacing w:after="120" w:line="100" w:lineRule="atLeast"/>
        <w:jc w:val="both"/>
        <w:rPr>
          <w:rFonts w:ascii="Arial" w:hAnsi="Arial" w:cs="Arial"/>
          <w:sz w:val="22"/>
          <w:szCs w:val="22"/>
        </w:rPr>
      </w:pPr>
      <w:r w:rsidRPr="00C25A36">
        <w:rPr>
          <w:rFonts w:ascii="Arial" w:hAnsi="Arial" w:cs="Arial"/>
          <w:sz w:val="22"/>
          <w:szCs w:val="22"/>
        </w:rPr>
        <w:lastRenderedPageBreak/>
        <w:t xml:space="preserve">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w:t>
      </w:r>
      <w:r w:rsidR="00093AD4">
        <w:rPr>
          <w:rFonts w:ascii="Arial" w:hAnsi="Arial" w:cs="Arial"/>
          <w:sz w:val="22"/>
          <w:szCs w:val="22"/>
        </w:rPr>
        <w:t>4</w:t>
      </w:r>
      <w:r w:rsidRPr="00C25A36">
        <w:rPr>
          <w:rFonts w:ascii="Arial" w:hAnsi="Arial" w:cs="Arial"/>
          <w:sz w:val="22"/>
          <w:szCs w:val="22"/>
        </w:rPr>
        <w:t>)</w:t>
      </w:r>
      <w:r w:rsidR="00093AD4" w:rsidRPr="00093AD4">
        <w:t xml:space="preserve"> </w:t>
      </w:r>
      <w:r w:rsidR="00093AD4" w:rsidRPr="00093AD4">
        <w:rPr>
          <w:rFonts w:ascii="Arial" w:hAnsi="Arial" w:cs="Arial"/>
          <w:sz w:val="22"/>
          <w:szCs w:val="22"/>
        </w:rPr>
        <w:t>completa di copia di documento di identità</w:t>
      </w:r>
      <w:r w:rsidRPr="00C25A36">
        <w:rPr>
          <w:rFonts w:ascii="Arial" w:hAnsi="Arial" w:cs="Arial"/>
          <w:sz w:val="22"/>
          <w:szCs w:val="22"/>
        </w:rPr>
        <w:t>. Tali dichiarazioni dovranno essere allegate alla domanda da parte dell’impresa richiedente.</w:t>
      </w:r>
    </w:p>
    <w:p w14:paraId="22CF6D0D" w14:textId="40FE9976" w:rsidR="00C25A36" w:rsidRDefault="00093AD4" w:rsidP="00C25A36">
      <w:pPr>
        <w:spacing w:after="120" w:line="100" w:lineRule="atLeast"/>
        <w:jc w:val="both"/>
        <w:rPr>
          <w:rFonts w:ascii="Arial" w:hAnsi="Arial" w:cs="Arial"/>
          <w:sz w:val="22"/>
          <w:szCs w:val="22"/>
        </w:rPr>
      </w:pPr>
      <w:r w:rsidRPr="00093AD4">
        <w:rPr>
          <w:rFonts w:ascii="Arial" w:hAnsi="Arial" w:cs="Arial"/>
          <w:sz w:val="22"/>
          <w:szCs w:val="22"/>
        </w:rPr>
        <w:t xml:space="preserve">Si precisa che per gli aiuti De </w:t>
      </w:r>
      <w:proofErr w:type="spellStart"/>
      <w:r w:rsidRPr="00093AD4">
        <w:rPr>
          <w:rFonts w:ascii="Arial" w:hAnsi="Arial" w:cs="Arial"/>
          <w:sz w:val="22"/>
          <w:szCs w:val="22"/>
        </w:rPr>
        <w:t>Minimis</w:t>
      </w:r>
      <w:proofErr w:type="spellEnd"/>
      <w:r w:rsidRPr="00093AD4">
        <w:rPr>
          <w:rFonts w:ascii="Arial" w:hAnsi="Arial" w:cs="Arial"/>
          <w:sz w:val="22"/>
          <w:szCs w:val="22"/>
        </w:rPr>
        <w:t xml:space="preserve"> SIEG, concessi ai sensi del regolamento (UE) n. 2023/2832, l’ultimo periodo dell’articolo 2, paragrafo 2 statuisce: “Tuttavia, le imprese che forniscono servizi di interesse economico generale che non hanno relazioni tra loro eccetto il loro legame diretto con gli stessi organismi pubblici o con le stesse entità senza scopo di lucro non sono considerate un’impresa unica ai sensi del presente regolamento”.</w:t>
      </w:r>
    </w:p>
    <w:p w14:paraId="0252125C" w14:textId="77777777" w:rsidR="00093AD4" w:rsidRPr="00C25A36" w:rsidRDefault="00093AD4" w:rsidP="00C25A36">
      <w:pPr>
        <w:spacing w:after="120" w:line="100" w:lineRule="atLeast"/>
        <w:jc w:val="both"/>
        <w:rPr>
          <w:rFonts w:ascii="Arial" w:hAnsi="Arial" w:cs="Arial"/>
          <w:sz w:val="22"/>
          <w:szCs w:val="22"/>
        </w:rPr>
      </w:pPr>
    </w:p>
    <w:p w14:paraId="20A85015"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Sezione B: Rispetto del massimale.</w:t>
      </w:r>
    </w:p>
    <w:p w14:paraId="6C8A9DB5" w14:textId="77777777" w:rsidR="00C25A36" w:rsidRDefault="00C25A36" w:rsidP="00C25A36">
      <w:pPr>
        <w:spacing w:after="120" w:line="100" w:lineRule="atLeast"/>
        <w:jc w:val="both"/>
        <w:rPr>
          <w:rFonts w:ascii="Arial" w:hAnsi="Arial" w:cs="Arial"/>
          <w:sz w:val="22"/>
          <w:szCs w:val="22"/>
        </w:rPr>
      </w:pPr>
    </w:p>
    <w:p w14:paraId="252BA18B" w14:textId="0A9761AB"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Quali agevolazioni indicare?</w:t>
      </w:r>
    </w:p>
    <w:p w14:paraId="15E124AB"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Devono essere riportate tutte le agevolazioni ottenute in «de </w:t>
      </w:r>
      <w:proofErr w:type="spellStart"/>
      <w:r w:rsidRPr="00C25A36">
        <w:rPr>
          <w:rFonts w:ascii="Arial" w:hAnsi="Arial" w:cs="Arial"/>
          <w:sz w:val="22"/>
          <w:szCs w:val="22"/>
        </w:rPr>
        <w:t>minimis</w:t>
      </w:r>
      <w:proofErr w:type="spellEnd"/>
      <w:r w:rsidRPr="00C25A36">
        <w:rPr>
          <w:rFonts w:ascii="Arial" w:hAnsi="Arial" w:cs="Arial"/>
          <w:sz w:val="22"/>
          <w:szCs w:val="22"/>
        </w:rPr>
        <w:t>» ai sensi di qualsiasi regolamento europeo relativo a tale tipologia di aiuti, specificando, per ogni aiuto, a quale regolamento faccia riferimento (agricoltura, pesca, SIEG o “generale”).</w:t>
      </w:r>
    </w:p>
    <w:p w14:paraId="79487F6C"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Nel caso di aiuti concessi in forma diversa dalla sovvenzione (ad esempio, come prestito agevolato o come garanzia), dovrà essere indicato l’importo dell’equivalente sovvenzione, come risulta dall’atto di concessione di ciascun aiuto.</w:t>
      </w:r>
    </w:p>
    <w:p w14:paraId="6D4D4120"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 relazione a ciascun aiuto deve essere rispettato il massimale triennale stabilito dal regolamento di riferimento e nell’avviso. </w:t>
      </w:r>
    </w:p>
    <w:p w14:paraId="47C8623C" w14:textId="74242A78"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Un’impresa può essere beneficiaria di aiuti ai sensi di più regolamenti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a ciascuno di tali aiuti si applicherà il massimale pertinente, con l’avvertenza che l’importo totale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in ciascun </w:t>
      </w:r>
      <w:r w:rsidR="005F6E0E">
        <w:rPr>
          <w:rFonts w:ascii="Arial" w:hAnsi="Arial" w:cs="Arial"/>
          <w:sz w:val="22"/>
          <w:szCs w:val="22"/>
        </w:rPr>
        <w:t>periodo</w:t>
      </w:r>
      <w:r w:rsidRPr="00C25A36">
        <w:rPr>
          <w:rFonts w:ascii="Arial" w:hAnsi="Arial" w:cs="Arial"/>
          <w:sz w:val="22"/>
          <w:szCs w:val="22"/>
        </w:rPr>
        <w:t xml:space="preserve"> di riferimento non potrà comunque superare il tetto massimo più elevato tra quelli cui si fa riferimento. </w:t>
      </w:r>
    </w:p>
    <w:p w14:paraId="6D6D6A24"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14:paraId="198DD8D2" w14:textId="77777777" w:rsidR="00F4277E" w:rsidRPr="00C25A36" w:rsidRDefault="00F4277E" w:rsidP="00C25A36">
      <w:pPr>
        <w:spacing w:after="120" w:line="100" w:lineRule="atLeast"/>
        <w:jc w:val="both"/>
        <w:rPr>
          <w:rFonts w:ascii="Arial" w:hAnsi="Arial" w:cs="Arial"/>
          <w:sz w:val="22"/>
          <w:szCs w:val="22"/>
        </w:rPr>
      </w:pPr>
    </w:p>
    <w:p w14:paraId="7DA7373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Periodo di riferimento:</w:t>
      </w:r>
    </w:p>
    <w:p w14:paraId="12FF5CCF" w14:textId="1AEB0E78" w:rsidR="00F4277E" w:rsidRPr="00C25A36" w:rsidRDefault="005F6E0E" w:rsidP="00C25A36">
      <w:pPr>
        <w:spacing w:after="120" w:line="100" w:lineRule="atLeast"/>
        <w:jc w:val="both"/>
        <w:rPr>
          <w:rFonts w:ascii="Arial" w:hAnsi="Arial" w:cs="Arial"/>
          <w:sz w:val="22"/>
          <w:szCs w:val="22"/>
        </w:rPr>
      </w:pPr>
      <w:r w:rsidRPr="005F6E0E">
        <w:rPr>
          <w:rFonts w:ascii="Arial" w:hAnsi="Arial" w:cs="Arial"/>
          <w:sz w:val="22"/>
          <w:szCs w:val="22"/>
        </w:rPr>
        <w:t>per i nuovi regolamenti del settore generale e SIEG il periodo temporale è costituito dall’arco di tre anni.</w:t>
      </w:r>
      <w:r w:rsidR="00F4277E" w:rsidRPr="00C25A36">
        <w:rPr>
          <w:rFonts w:ascii="Arial" w:hAnsi="Arial" w:cs="Arial"/>
          <w:sz w:val="22"/>
          <w:szCs w:val="22"/>
        </w:rPr>
        <w:t xml:space="preserve"> 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14:paraId="69981A7C" w14:textId="77777777" w:rsidR="00F4277E" w:rsidRPr="00C25A36" w:rsidRDefault="00F4277E" w:rsidP="00C25A36">
      <w:pPr>
        <w:spacing w:after="120" w:line="100" w:lineRule="atLeast"/>
        <w:jc w:val="both"/>
        <w:rPr>
          <w:rFonts w:ascii="Arial" w:hAnsi="Arial" w:cs="Arial"/>
          <w:sz w:val="22"/>
          <w:szCs w:val="22"/>
        </w:rPr>
      </w:pPr>
    </w:p>
    <w:p w14:paraId="0B3CE41D"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Il caso specifico delle fusioni, acquisizioni e trasferimenti di rami d’azienda:</w:t>
      </w:r>
    </w:p>
    <w:p w14:paraId="3A07D094" w14:textId="73126C60"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sia incorsa in vicende di fusioni o acquisizioni (art.3(8) del Reg </w:t>
      </w:r>
      <w:r w:rsidR="005F6E0E">
        <w:rPr>
          <w:rFonts w:ascii="Arial" w:hAnsi="Arial" w:cs="Arial"/>
          <w:sz w:val="22"/>
          <w:szCs w:val="22"/>
        </w:rPr>
        <w:t>2831</w:t>
      </w:r>
      <w:r w:rsidRPr="00C25A36">
        <w:rPr>
          <w:rFonts w:ascii="Arial" w:hAnsi="Arial" w:cs="Arial"/>
          <w:sz w:val="22"/>
          <w:szCs w:val="22"/>
        </w:rPr>
        <w:t>/20</w:t>
      </w:r>
      <w:r w:rsidR="005F6E0E">
        <w:rPr>
          <w:rFonts w:ascii="Arial" w:hAnsi="Arial" w:cs="Arial"/>
          <w:sz w:val="22"/>
          <w:szCs w:val="22"/>
        </w:rPr>
        <w:t>2</w:t>
      </w:r>
      <w:r w:rsidRPr="00C25A36">
        <w:rPr>
          <w:rFonts w:ascii="Arial" w:hAnsi="Arial" w:cs="Arial"/>
          <w:sz w:val="22"/>
          <w:szCs w:val="22"/>
        </w:rPr>
        <w:t xml:space="preserve">3/UE) tutti 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accordati alle imprese oggetto dell’operazione devono essere sommati. </w:t>
      </w:r>
    </w:p>
    <w:p w14:paraId="58D97F67"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In questo caso la tabella andrà compilata inserendo anche il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ottenuto dall’impresa/dalle imprese oggetto acquisizione o fusione.</w:t>
      </w:r>
    </w:p>
    <w:p w14:paraId="2AF970C1" w14:textId="77777777" w:rsidR="00F4277E" w:rsidRPr="00C25A36" w:rsidRDefault="00F4277E" w:rsidP="00C25A36">
      <w:pPr>
        <w:spacing w:after="120" w:line="100" w:lineRule="atLeast"/>
        <w:jc w:val="both"/>
        <w:rPr>
          <w:rFonts w:ascii="Arial" w:hAnsi="Arial" w:cs="Arial"/>
          <w:sz w:val="22"/>
          <w:szCs w:val="22"/>
        </w:rPr>
      </w:pPr>
    </w:p>
    <w:p w14:paraId="3E6769E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Ad esempio:</w:t>
      </w:r>
    </w:p>
    <w:p w14:paraId="20561823"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lastRenderedPageBreak/>
        <w:t xml:space="preserve">All’impresa A sono stati concessi 80.000€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nell’anno 2010</w:t>
      </w:r>
    </w:p>
    <w:p w14:paraId="21E8B50F"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 xml:space="preserve">All’impresa B sono stati concessi 20.000€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nell’anno 2010</w:t>
      </w:r>
    </w:p>
    <w:p w14:paraId="7776B8B8"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Nell’anno 2011 l’impresa A si fonde con l’impresa B e diventa un nuovo soggetto (A+B)</w:t>
      </w:r>
    </w:p>
    <w:p w14:paraId="2099547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Nell’anno 2011 il soggetto (A+B) vuole fare domanda per un nuovo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di 70.000€. L’impresa (A+B) dovrà dichiarare gli aiuti ricevuti anche dalle imprese A e B, che ammonteranno ad un totale di 100.000€</w:t>
      </w:r>
    </w:p>
    <w:p w14:paraId="354B441C"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Qualora l’impresa (A+B) voglia ottenere un nuovo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 2012, dovrà dichiarare che gli sono stati concessi nell’anno in corso e nei due precedenti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170.000€</w:t>
      </w:r>
    </w:p>
    <w:p w14:paraId="2380B3F3" w14:textId="72B8BFB5"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origini da operazioni di scissione (art.3(9) del Reg </w:t>
      </w:r>
      <w:r w:rsidR="005F6E0E">
        <w:rPr>
          <w:rFonts w:ascii="Arial" w:hAnsi="Arial" w:cs="Arial"/>
          <w:sz w:val="22"/>
          <w:szCs w:val="22"/>
        </w:rPr>
        <w:t>2831</w:t>
      </w:r>
      <w:r w:rsidRPr="00C25A36">
        <w:rPr>
          <w:rFonts w:ascii="Arial" w:hAnsi="Arial" w:cs="Arial"/>
          <w:sz w:val="22"/>
          <w:szCs w:val="22"/>
        </w:rPr>
        <w:t>/20</w:t>
      </w:r>
      <w:r w:rsidR="005F6E0E">
        <w:rPr>
          <w:rFonts w:ascii="Arial" w:hAnsi="Arial" w:cs="Arial"/>
          <w:sz w:val="22"/>
          <w:szCs w:val="22"/>
        </w:rPr>
        <w:t>2</w:t>
      </w:r>
      <w:r w:rsidRPr="00C25A36">
        <w:rPr>
          <w:rFonts w:ascii="Arial" w:hAnsi="Arial" w:cs="Arial"/>
          <w:sz w:val="22"/>
          <w:szCs w:val="22"/>
        </w:rPr>
        <w:t xml:space="preserve">3/UE) di un’impresa in due o più imprese distinte, si segnala che l’importo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dall’impresa originaria deve essere attribuito all’impresa che acquisirà le attività che hanno beneficiato degli aiuti o, se ciò non è possibile, deve essere suddiviso proporzionalmente al valore delle nuove imprese in termini di capitale investito. </w:t>
      </w:r>
    </w:p>
    <w:p w14:paraId="1B843996" w14:textId="77777777" w:rsidR="00F4277E" w:rsidRPr="00C25A36" w:rsidRDefault="00F4277E" w:rsidP="00C25A36">
      <w:pPr>
        <w:spacing w:after="120" w:line="100" w:lineRule="atLeast"/>
        <w:jc w:val="both"/>
        <w:rPr>
          <w:rFonts w:ascii="Arial" w:hAnsi="Arial" w:cs="Arial"/>
          <w:sz w:val="22"/>
          <w:szCs w:val="22"/>
        </w:rPr>
      </w:pPr>
    </w:p>
    <w:p w14:paraId="3AA1EDD5" w14:textId="77777777" w:rsidR="00F4277E" w:rsidRPr="00C25A36" w:rsidRDefault="00F4277E" w:rsidP="00C25A36">
      <w:pPr>
        <w:spacing w:after="120" w:line="100" w:lineRule="atLeast"/>
        <w:jc w:val="both"/>
        <w:rPr>
          <w:rFonts w:ascii="Arial" w:hAnsi="Arial" w:cs="Arial"/>
          <w:sz w:val="22"/>
          <w:szCs w:val="22"/>
        </w:rPr>
      </w:pPr>
      <w:proofErr w:type="spellStart"/>
      <w:r w:rsidRPr="00C25A36">
        <w:rPr>
          <w:rFonts w:ascii="Arial" w:hAnsi="Arial" w:cs="Arial"/>
          <w:sz w:val="22"/>
          <w:szCs w:val="22"/>
        </w:rPr>
        <w:t>Valutazioni</w:t>
      </w:r>
      <w:proofErr w:type="spellEnd"/>
      <w:r w:rsidRPr="00C25A36">
        <w:rPr>
          <w:rFonts w:ascii="Arial" w:hAnsi="Arial" w:cs="Arial"/>
          <w:sz w:val="22"/>
          <w:szCs w:val="22"/>
        </w:rPr>
        <w:t xml:space="preserve"> caso per caso dovranno essere effettuate per la fattispecie di un trasferimento di un ramo d’azienda che, configurato come operazione di acquisizione, determina il trasferimento del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in capo all’impresa che ha effettuato l’acquisizione, se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imputato al ramo ceduto.</w:t>
      </w:r>
    </w:p>
    <w:p w14:paraId="712DE303" w14:textId="77777777" w:rsidR="00F4277E" w:rsidRPr="00C25A36" w:rsidRDefault="00F4277E" w:rsidP="00C25A36">
      <w:pPr>
        <w:spacing w:after="120" w:line="100" w:lineRule="atLeast"/>
        <w:jc w:val="both"/>
        <w:rPr>
          <w:rFonts w:ascii="Arial" w:hAnsi="Arial" w:cs="Arial"/>
          <w:sz w:val="22"/>
          <w:szCs w:val="22"/>
        </w:rPr>
      </w:pPr>
    </w:p>
    <w:p w14:paraId="086AD3BE" w14:textId="1CAA6CF2"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w:t>
      </w:r>
      <w:r w:rsidR="00C25A36">
        <w:rPr>
          <w:rFonts w:ascii="Arial" w:hAnsi="Arial" w:cs="Arial"/>
          <w:sz w:val="22"/>
          <w:szCs w:val="22"/>
        </w:rPr>
        <w:t>a</w:t>
      </w:r>
      <w:r w:rsidRPr="00C25A36">
        <w:rPr>
          <w:rFonts w:ascii="Arial" w:hAnsi="Arial" w:cs="Arial"/>
          <w:sz w:val="22"/>
          <w:szCs w:val="22"/>
        </w:rPr>
        <w:t xml:space="preserve"> seguente parte di istruzioni per la compilazione fornisce indicazioni utili per fornire istruzioni ai partecipanti relativamente alle seguenti sezioni (C, D ed E) nel modulo. (FACOLTATIVE a discrezione dell’amministrazione concedente).</w:t>
      </w:r>
    </w:p>
    <w:p w14:paraId="0549D800" w14:textId="77777777" w:rsidR="00F4277E" w:rsidRPr="00C25A36" w:rsidRDefault="00F4277E" w:rsidP="00C25A36">
      <w:pPr>
        <w:spacing w:after="120" w:line="100" w:lineRule="atLeast"/>
        <w:jc w:val="both"/>
        <w:rPr>
          <w:rFonts w:ascii="Arial" w:hAnsi="Arial" w:cs="Arial"/>
          <w:sz w:val="22"/>
          <w:szCs w:val="22"/>
        </w:rPr>
      </w:pPr>
    </w:p>
    <w:p w14:paraId="7CF01F69"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C: </w:t>
      </w:r>
      <w:r w:rsidRPr="00C25A36">
        <w:rPr>
          <w:rFonts w:ascii="Arial" w:hAnsi="Arial" w:cs="Arial"/>
          <w:b/>
          <w:bCs/>
          <w:sz w:val="22"/>
          <w:szCs w:val="22"/>
        </w:rPr>
        <w:tab/>
        <w:t>Condizioni per il cumulo</w:t>
      </w:r>
    </w:p>
    <w:p w14:paraId="22F1EDD1" w14:textId="77777777" w:rsidR="00F4277E" w:rsidRPr="00C25A36" w:rsidRDefault="00F4277E" w:rsidP="00C25A36">
      <w:pPr>
        <w:spacing w:after="120" w:line="100" w:lineRule="atLeast"/>
        <w:jc w:val="both"/>
        <w:rPr>
          <w:rFonts w:ascii="Arial" w:hAnsi="Arial" w:cs="Arial"/>
          <w:sz w:val="22"/>
          <w:szCs w:val="22"/>
        </w:rPr>
      </w:pPr>
    </w:p>
    <w:p w14:paraId="363D2958"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Se l’Avviso/Bando consente il cumulo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con altri aiuti di Stato e 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sono concessi per specifici costi ammissibili, questi possono essere cumulati: </w:t>
      </w:r>
    </w:p>
    <w:p w14:paraId="6367D43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gli stessi costi ammissibili se tale cumulo non comporta il superamento dell’intensità di aiuto o dell’importo di aiuto più elevati fissati, per le specifiche circostanze di ogni caso, in un regolamento d’esenzione per categoria o in una decisione adottata dalla Commissione. </w:t>
      </w:r>
    </w:p>
    <w:p w14:paraId="2144DAC9"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costi ammissibili diversi da quelli finanziati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w:t>
      </w:r>
    </w:p>
    <w:p w14:paraId="698A0937"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questo motivo l’impresa dovrà indicare se ed eventualmente quali aiuti ha già ricevuto sugli stessi costi ammissibili, a norma di un regolamento di esenzione o di una decisione della Commissione europea, affinché non si verifichino superamenti delle relative intensità.</w:t>
      </w:r>
    </w:p>
    <w:p w14:paraId="6F9065A9" w14:textId="77777777" w:rsidR="00F4277E" w:rsidRPr="00C25A36" w:rsidRDefault="00F4277E" w:rsidP="00C25A36">
      <w:pPr>
        <w:spacing w:after="120" w:line="100" w:lineRule="atLeast"/>
        <w:jc w:val="both"/>
        <w:rPr>
          <w:rFonts w:ascii="Arial" w:hAnsi="Arial" w:cs="Arial"/>
          <w:sz w:val="22"/>
          <w:szCs w:val="22"/>
        </w:rPr>
      </w:pPr>
    </w:p>
    <w:p w14:paraId="1198E6B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Nella tabella dovrà pertanto essere indicata l’intensità relativa al progetto e l’importo imputato alla voce di costo o all’intero progetto in valore assoluto. </w:t>
      </w:r>
    </w:p>
    <w:p w14:paraId="2AC613A1" w14:textId="77777777" w:rsidR="00F4277E" w:rsidRPr="00C25A36" w:rsidRDefault="00F4277E" w:rsidP="00C25A36">
      <w:pPr>
        <w:spacing w:after="120" w:line="100" w:lineRule="atLeast"/>
        <w:jc w:val="both"/>
        <w:rPr>
          <w:rFonts w:ascii="Arial" w:hAnsi="Arial" w:cs="Arial"/>
          <w:sz w:val="22"/>
          <w:szCs w:val="22"/>
        </w:rPr>
      </w:pPr>
    </w:p>
    <w:p w14:paraId="0BEBD9B0"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100.000€.</w:t>
      </w:r>
    </w:p>
    <w:p w14:paraId="720AF260"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lastRenderedPageBreak/>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1200€ per il progetto complessivamente inteso. </w:t>
      </w:r>
    </w:p>
    <w:p w14:paraId="29014AFB" w14:textId="77777777" w:rsidR="00F4277E" w:rsidRPr="00C25A36" w:rsidRDefault="00F4277E" w:rsidP="00C25A36">
      <w:pPr>
        <w:spacing w:after="120" w:line="100" w:lineRule="atLeast"/>
        <w:jc w:val="both"/>
        <w:rPr>
          <w:rFonts w:ascii="Arial" w:hAnsi="Arial" w:cs="Arial"/>
          <w:sz w:val="22"/>
          <w:szCs w:val="22"/>
        </w:rPr>
      </w:pPr>
    </w:p>
    <w:p w14:paraId="31A64DA2"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D </w:t>
      </w:r>
      <w:r w:rsidRPr="00C25A36">
        <w:rPr>
          <w:rFonts w:ascii="Arial" w:hAnsi="Arial" w:cs="Arial"/>
          <w:b/>
          <w:bCs/>
          <w:sz w:val="22"/>
          <w:szCs w:val="22"/>
        </w:rPr>
        <w:tab/>
        <w:t>Condizioni per aiuti sotto forma di «prestiti» e «garanzie»</w:t>
      </w:r>
    </w:p>
    <w:p w14:paraId="53FD2082" w14:textId="77777777" w:rsidR="00F4277E" w:rsidRPr="00C25A36" w:rsidRDefault="00F4277E" w:rsidP="00C25A36">
      <w:pPr>
        <w:spacing w:after="120" w:line="100" w:lineRule="atLeast"/>
        <w:jc w:val="both"/>
        <w:rPr>
          <w:rFonts w:ascii="Arial" w:hAnsi="Arial" w:cs="Arial"/>
          <w:sz w:val="22"/>
          <w:szCs w:val="22"/>
        </w:rPr>
      </w:pPr>
    </w:p>
    <w:p w14:paraId="30D50135" w14:textId="4F52A19A"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La sezione deve essere compilata soltanto nel caso in cui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sia concesso, sulla base di quanto previsto dal Bando/Avviso, sotto forma di “prestiti” o “garanzia”.</w:t>
      </w:r>
    </w:p>
    <w:p w14:paraId="769C09E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Qualora l’aiuto «de </w:t>
      </w:r>
      <w:proofErr w:type="spellStart"/>
      <w:r w:rsidRPr="00C25A36">
        <w:rPr>
          <w:rFonts w:ascii="Arial" w:hAnsi="Arial" w:cs="Arial"/>
          <w:sz w:val="22"/>
          <w:szCs w:val="22"/>
        </w:rPr>
        <w:t>minimis</w:t>
      </w:r>
      <w:proofErr w:type="spellEnd"/>
      <w:r w:rsidRPr="00C25A36">
        <w:rPr>
          <w:rFonts w:ascii="Arial" w:hAnsi="Arial" w:cs="Arial"/>
          <w:sz w:val="22"/>
          <w:szCs w:val="22"/>
        </w:rPr>
        <w:t>» possa essere concesso sotto forma di prestito o garanzia,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14:paraId="5B348682" w14:textId="77777777" w:rsidR="00F4277E" w:rsidRPr="00C25A36" w:rsidRDefault="00F4277E" w:rsidP="00C25A36">
      <w:pPr>
        <w:spacing w:after="120" w:line="100" w:lineRule="atLeast"/>
        <w:jc w:val="both"/>
        <w:rPr>
          <w:rFonts w:ascii="Arial" w:hAnsi="Arial" w:cs="Arial"/>
          <w:sz w:val="22"/>
          <w:szCs w:val="22"/>
        </w:rPr>
      </w:pPr>
    </w:p>
    <w:p w14:paraId="09190DDC"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la definizione di PMI si rimanda alla raccomandazione della Commissione europea n. 2003/361/CE, anche allegato I del Regolamento (CE) n. 800/08.</w:t>
      </w:r>
    </w:p>
    <w:p w14:paraId="2135623A" w14:textId="77777777" w:rsidR="00E71EE9" w:rsidRPr="00C25A36" w:rsidRDefault="00E71EE9" w:rsidP="00C25A36">
      <w:pPr>
        <w:spacing w:after="120" w:line="100" w:lineRule="atLeast"/>
        <w:jc w:val="both"/>
        <w:rPr>
          <w:rFonts w:ascii="Arial" w:hAnsi="Arial" w:cs="Arial"/>
          <w:sz w:val="22"/>
          <w:szCs w:val="22"/>
        </w:rPr>
      </w:pPr>
    </w:p>
    <w:sectPr w:rsidR="00E71EE9" w:rsidRPr="00C25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7E"/>
    <w:rsid w:val="00093AD4"/>
    <w:rsid w:val="005F6E0E"/>
    <w:rsid w:val="008E3BB3"/>
    <w:rsid w:val="008E7BE4"/>
    <w:rsid w:val="00905EF4"/>
    <w:rsid w:val="009D091F"/>
    <w:rsid w:val="00AD388D"/>
    <w:rsid w:val="00B3355F"/>
    <w:rsid w:val="00BB368F"/>
    <w:rsid w:val="00C13D22"/>
    <w:rsid w:val="00C25A36"/>
    <w:rsid w:val="00D019EA"/>
    <w:rsid w:val="00D84162"/>
    <w:rsid w:val="00E17478"/>
    <w:rsid w:val="00E71EE9"/>
    <w:rsid w:val="00EC325F"/>
    <w:rsid w:val="00F4277E"/>
    <w:rsid w:val="00F601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B022"/>
  <w15:chartTrackingRefBased/>
  <w15:docId w15:val="{FC94249C-4909-4EC7-AD77-4DA1D9A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7E"/>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1675</Words>
  <Characters>9553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Lacerra</dc:creator>
  <cp:keywords/>
  <dc:description/>
  <cp:lastModifiedBy>Ilaria Testini</cp:lastModifiedBy>
  <cp:revision>9</cp:revision>
  <dcterms:created xsi:type="dcterms:W3CDTF">2021-05-05T10:46:00Z</dcterms:created>
  <dcterms:modified xsi:type="dcterms:W3CDTF">2025-03-26T09:22:00Z</dcterms:modified>
</cp:coreProperties>
</file>